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1613ed13784976"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(Amendment)</w:t>
      </w:r>
    </w:p>
    <w:p>
      <w:pPr>
        <w:pStyle w:val="kar_citation"/>
      </w:pPr>
      <w:r>
        <w:t>101 KAR 2:095.</w:t>
      </w:r>
      <w:r>
        <w:t xml:space="preserve"> </w:t>
      </w:r>
      <w:r>
        <w:t xml:space="preserve">Classified service general requirements.</w:t>
      </w:r>
    </w:p>
    <w:p>
      <w:pPr>
        <w:pStyle w:val="kar_markup_metadata"/>
      </w:pPr>
      <w:r>
        <w:t xml:space="preserve">RELATES TO: </w:t>
      </w:r>
      <w:r>
        <w:t xml:space="preserve">KRS 18A.030(2), 18A.110</w:t>
      </w:r>
    </w:p>
    <w:p>
      <w:pPr>
        <w:pStyle w:val="kar_markup_metadata"/>
      </w:pPr>
      <w:r>
        <w:t xml:space="preserve">STATUTORY AUTHORITY: </w:t>
      </w:r>
      <w:r>
        <w:t xml:space="preserve">KRS 18A.030, 18A.110</w:t>
      </w:r>
    </w:p>
    <w:p>
      <w:pPr>
        <w:pStyle w:val="kar_markup_metadata"/>
      </w:pPr>
      <w:r>
        <w:t xml:space="preserve">NECESSITY, FUNCTION, AND CONFORMITY: </w:t>
      </w:r>
      <w:r>
        <w:t xml:space="preserve">KRS 18A.110 requires the Secretary of Personnel to promulgate comprehensive administrative regulations for the classified service. This administrative regulation establishes requirements for the classified service and governs the maintenance of employee and other records and reports in the cabinet and other conditions of employment.</w:t>
      </w:r>
    </w:p>
    <w:p>
      <w:pPr>
        <w:pStyle w:val="kar_section"/>
      </w:pPr>
      <w:r>
        <w:t xml:space="preserve">Section 1.</w:t>
      </w:r>
      <w:r>
        <w:t xml:space="preserve"> </w:t>
      </w:r>
      <w:r>
        <w:t xml:space="preserve">Attendance; Hours of Work.</w:t>
      </w:r>
    </w:p>
    <w:p>
      <w:pPr>
        <w:pStyle w:val="kar_subsection"/>
      </w:pPr>
      <w:r>
        <w:t xml:space="preserve">(1)</w:t>
      </w:r>
      <w:r>
        <w:t xml:space="preserve"> </w:t>
      </w:r>
      <w:r>
        <w:t xml:space="preserve">The number of hours a full-time employee shall be required to work shall be thirty-seven and one-half (37 1/2) hours per week or forty (40) hours per week, unless specified otherwise by the appointing authority or the statutes.</w:t>
      </w:r>
    </w:p>
    <w:p>
      <w:pPr>
        <w:pStyle w:val="kar_subsection"/>
      </w:pPr>
      <w:r>
        <w:t xml:space="preserve">(2)</w:t>
      </w:r>
      <w:r>
        <w:t xml:space="preserve"> </w:t>
      </w:r>
      <w:r>
        <w:t xml:space="preserve">The normal work day shall be from:</w:t>
      </w:r>
    </w:p>
    <w:p>
      <w:pPr>
        <w:pStyle w:val="kar_paragraph"/>
      </w:pPr>
      <w:r>
        <w:t xml:space="preserve">(a)</w:t>
      </w:r>
      <w:r>
        <w:t xml:space="preserve"> </w:t>
      </w:r>
      <w:r>
        <w:t xml:space="preserve">8 a.m. to 4:30 p.m., local time, Monday through Friday, for a thirty-seven and one-half (37 1/2) hour work schedule; or</w:t>
      </w:r>
    </w:p>
    <w:p>
      <w:pPr>
        <w:pStyle w:val="kar_paragraph"/>
      </w:pPr>
      <w:r>
        <w:t xml:space="preserve">(b)</w:t>
      </w:r>
      <w:r>
        <w:t xml:space="preserve"> </w:t>
      </w:r>
      <w:r>
        <w:t xml:space="preserve">8 a.m. to 5 p.m., local time, Monday through Friday, for a forty (40) hour work schedule.</w:t>
      </w:r>
    </w:p>
    <w:p>
      <w:pPr>
        <w:pStyle w:val="kar_subsection"/>
      </w:pPr>
      <w:r>
        <w:t xml:space="preserve">(3)</w:t>
      </w:r>
      <w:r>
        <w:t xml:space="preserve"> </w:t>
      </w:r>
      <w:r>
        <w:t xml:space="preserve">An appointing authority may require an employee to work hours and days other than regular days and hours, including an overtime or inclement weather schedule if it is in the best interest of the agency.</w:t>
      </w:r>
    </w:p>
    <w:p>
      <w:pPr>
        <w:pStyle w:val="kar_subsection"/>
      </w:pPr>
      <w:r>
        <w:t xml:space="preserve">(4)</w:t>
      </w:r>
      <w:r>
        <w:t xml:space="preserve"> </w:t>
      </w:r>
      <w:r>
        <w:t xml:space="preserve">An employee who works for an agency that requires more than one (1) shift or seven (7) days a week operation may be reassigned from one (1) shift to another or from one (1) post to another or alternate days off by the agency to meet staffing requirements or to maintain security or provide essential services of the agency.</w:t>
      </w:r>
    </w:p>
    <w:p>
      <w:pPr>
        <w:pStyle w:val="kar_subsection"/>
      </w:pPr>
      <w:r>
        <w:t xml:space="preserve">(5)</w:t>
      </w:r>
      <w:r>
        <w:t xml:space="preserve"> </w:t>
      </w:r>
      <w:r>
        <w:t xml:space="preserve">An employee shall give reasonable notice in advance of absence from an official work station or alternate work station.</w:t>
      </w:r>
    </w:p>
    <w:p>
      <w:pPr>
        <w:pStyle w:val="kar_section"/>
      </w:pPr>
      <w:r>
        <w:t xml:space="preserve">Section 2.</w:t>
      </w:r>
      <w:r>
        <w:t xml:space="preserve"> </w:t>
      </w:r>
      <w:r>
        <w:t xml:space="preserve">Official Work Station, Alternate Work Station, and Temporary Assignment.</w:t>
      </w:r>
    </w:p>
    <w:p>
      <w:pPr>
        <w:pStyle w:val="kar_subsection"/>
      </w:pPr>
      <w:r>
        <w:t xml:space="preserve">(1)</w:t>
      </w:r>
      <w:r>
        <w:t xml:space="preserve"> </w:t>
      </w:r>
      <w:r>
        <w:t xml:space="preserve">Each employee shall be assigned an official work station and may be assigned one (1) or more additional alternate work stations by the appointing authority.</w:t>
      </w:r>
    </w:p>
    <w:p>
      <w:pPr>
        <w:pStyle w:val="kar_subsection"/>
      </w:pPr>
      <w:r>
        <w:t xml:space="preserve">(2)</w:t>
      </w:r>
      <w:r>
        <w:t xml:space="preserve"> </w:t>
      </w:r>
      <w:r>
        <w:t xml:space="preserve">An official work station or alternate work station may be changed to better meet the needs of the agency.</w:t>
      </w:r>
    </w:p>
    <w:p>
      <w:pPr>
        <w:pStyle w:val="kar_subsection"/>
      </w:pPr>
      <w:r>
        <w:t xml:space="preserve">(3)</w:t>
      </w:r>
      <w:r>
        <w:t xml:space="preserve"> </w:t>
      </w:r>
      <w:r>
        <w:t xml:space="preserve">An employee may be temporarily assigned to a different official work station or alternate work station in a different county. The assignment shall be to the same job classification.</w:t>
      </w:r>
    </w:p>
    <w:p>
      <w:pPr>
        <w:pStyle w:val="kar_paragraph"/>
      </w:pPr>
      <w:r>
        <w:t xml:space="preserve">(a)</w:t>
      </w:r>
      <w:r>
        <w:t xml:space="preserve"> </w:t>
      </w:r>
      <w:r>
        <w:t xml:space="preserve">If an employee is temporarily assigned to a different official work station or alternate work station in a different county, the assignment shall not last more than sixty (60) calendar days.</w:t>
      </w:r>
    </w:p>
    <w:p>
      <w:pPr>
        <w:pStyle w:val="kar_paragraph"/>
      </w:pPr>
      <w:r>
        <w:t xml:space="preserve">(b)</w:t>
      </w:r>
      <w:r>
        <w:t xml:space="preserve"> </w:t>
      </w:r>
      <w:r>
        <w:t xml:space="preserve">Temporary assignment may be renewed with prior approval of the Secretary of Personnel.</w:t>
      </w:r>
    </w:p>
    <w:p>
      <w:pPr>
        <w:pStyle w:val="kar_paragraph"/>
      </w:pPr>
      <w:r>
        <w:t xml:space="preserve">(c)</w:t>
      </w:r>
      <w:r>
        <w:t xml:space="preserve"> </w:t>
      </w:r>
      <w:r>
        <w:t xml:space="preserve">A temporarily reassigned employee shall be reimbursed for travel expenses in accordance with 200 KAR 2:006, and the appointing authority shall notify the employee in writing prior to the effective date of the action.</w:t>
      </w:r>
    </w:p>
    <w:p>
      <w:pPr>
        <w:pStyle w:val="kar_subsection"/>
      </w:pPr>
      <w:r>
        <w:t xml:space="preserve">(4)</w:t>
      </w:r>
      <w:r>
        <w:t xml:space="preserve"> </w:t>
      </w:r>
      <w:r>
        <w:t xml:space="preserve">An appointing authority may assign an employee to work in a different site within the county of employment within the same job classification.</w:t>
      </w:r>
    </w:p>
    <w:p>
      <w:pPr>
        <w:pStyle w:val="kar_section"/>
      </w:pPr>
      <w:r>
        <w:t xml:space="preserve">Section 3.</w:t>
      </w:r>
      <w:r>
        <w:t xml:space="preserve"> </w:t>
      </w:r>
      <w:r>
        <w:t xml:space="preserve">Dual Employment. An employee holding a full-time position covered under KRS Chapter 18A shall not hold another KRS Chapter 18A position except upon recommendation of the appointing authority and the written approval of the secretary.</w:t>
      </w:r>
    </w:p>
    <w:p>
      <w:pPr>
        <w:pStyle w:val="kar_section"/>
      </w:pPr>
      <w:r>
        <w:t xml:space="preserve">Section 4.</w:t>
      </w:r>
      <w:r>
        <w:t xml:space="preserve"> </w:t>
      </w:r>
      <w:r>
        <w:t xml:space="preserve">Notice of Resignation and Retirement.</w:t>
      </w:r>
    </w:p>
    <w:p>
      <w:pPr>
        <w:pStyle w:val="kar_subsection"/>
      </w:pPr>
      <w:r>
        <w:t xml:space="preserve">(1)</w:t>
      </w:r>
      <w:r>
        <w:t xml:space="preserve"> </w:t>
      </w:r>
      <w:r>
        <w:t xml:space="preserve">An employee who decides to terminate his or her service shall submit a written resignation or notice of retirement to the appointing authority.</w:t>
      </w:r>
    </w:p>
    <w:p>
      <w:pPr>
        <w:pStyle w:val="kar_subsection"/>
      </w:pPr>
      <w:r>
        <w:t xml:space="preserve">(2)</w:t>
      </w:r>
      <w:r>
        <w:t xml:space="preserve"> </w:t>
      </w:r>
      <w:r>
        <w:t xml:space="preserve">A resignation or notice of retirement shall be submitted at least fourteen (14) calendar days before the final working day. A copy of an employee's notice shall be attached to the separation personnel action and placed in the personnel files maintained by the agency and the Personnel Cabinet.</w:t>
      </w:r>
    </w:p>
    <w:p>
      <w:pPr>
        <w:pStyle w:val="kar_subsection"/>
      </w:pPr>
      <w:r>
        <w:t xml:space="preserve">(3)</w:t>
      </w:r>
      <w:r>
        <w:t xml:space="preserve"> </w:t>
      </w:r>
      <w:r>
        <w:t xml:space="preserve">Failure of an employee to give fourteen (14) calendar days' notice may result in forfeiture of accrued annual leave, based on:</w:t>
      </w:r>
    </w:p>
    <w:p>
      <w:pPr>
        <w:pStyle w:val="kar_paragraph"/>
      </w:pPr>
      <w:r>
        <w:t xml:space="preserve">(a)</w:t>
      </w:r>
      <w:r>
        <w:t xml:space="preserve"> </w:t>
      </w:r>
      <w:r>
        <w:t xml:space="preserve">If the fourteen (14) day deadline was:</w:t>
      </w:r>
    </w:p>
    <w:p>
      <w:pPr>
        <w:pStyle w:val="kar_subparagraph"/>
      </w:pPr>
      <w:r>
        <w:t xml:space="preserve">1.</w:t>
      </w:r>
      <w:r>
        <w:t xml:space="preserve"> </w:t>
      </w:r>
      <w:r>
        <w:t xml:space="preserve">Practicable under the circumstances;</w:t>
      </w:r>
    </w:p>
    <w:p>
      <w:pPr>
        <w:pStyle w:val="kar_subparagraph"/>
      </w:pPr>
      <w:r>
        <w:t xml:space="preserve">2.</w:t>
      </w:r>
      <w:r>
        <w:t xml:space="preserve"> </w:t>
      </w:r>
      <w:r>
        <w:t xml:space="preserve">Appropriate for the situation; and</w:t>
      </w:r>
    </w:p>
    <w:p>
      <w:pPr>
        <w:pStyle w:val="kar_subparagraph"/>
      </w:pPr>
      <w:r>
        <w:t xml:space="preserve">3.</w:t>
      </w:r>
      <w:r>
        <w:t xml:space="preserve"> </w:t>
      </w:r>
      <w:r>
        <w:t xml:space="preserve">Complied with; or</w:t>
      </w:r>
    </w:p>
    <w:p>
      <w:pPr>
        <w:pStyle w:val="kar_paragraph"/>
      </w:pPr>
      <w:r>
        <w:t xml:space="preserve">(b)</w:t>
      </w:r>
      <w:r>
        <w:t xml:space="preserve"> </w:t>
      </w:r>
      <w:r>
        <w:t xml:space="preserve">If the appointing authority and the employee have agreed that the employee shall retain the leave.</w:t>
      </w:r>
    </w:p>
    <w:p>
      <w:pPr>
        <w:pStyle w:val="kar_subsection"/>
      </w:pPr>
      <w:r>
        <w:t xml:space="preserve">(4)</w:t>
      </w:r>
      <w:r>
        <w:t xml:space="preserve"> </w:t>
      </w:r>
      <w:r>
        <w:t xml:space="preserve">The effective date of a separation shall be the next calendar day following the last work day unless the employee has been approved for the use of annual, compensatory, or sick leave prior to termination.</w:t>
      </w:r>
    </w:p>
    <w:p>
      <w:pPr>
        <w:pStyle w:val="kar_section"/>
      </w:pPr>
      <w:r>
        <w:t xml:space="preserve">Section 5.</w:t>
      </w:r>
      <w:r>
        <w:t xml:space="preserve"> </w:t>
      </w:r>
      <w:r>
        <w:t xml:space="preserve">Records and Reports.</w:t>
      </w:r>
    </w:p>
    <w:p>
      <w:pPr>
        <w:pStyle w:val="kar_subsection"/>
      </w:pPr>
      <w:r>
        <w:t xml:space="preserve">(1)</w:t>
      </w:r>
      <w:r>
        <w:t xml:space="preserve"> </w:t>
      </w:r>
      <w:r>
        <w:t xml:space="preserve">An appointing authority shall provide a request to the Personnel Cabinet for a personnel action or status change.</w:t>
      </w:r>
    </w:p>
    <w:p>
      <w:pPr>
        <w:pStyle w:val="kar_paragraph"/>
      </w:pPr>
      <w:r>
        <w:t xml:space="preserve">(a)</w:t>
      </w:r>
      <w:r>
        <w:t xml:space="preserve"> </w:t>
      </w:r>
      <w:r>
        <w:t xml:space="preserve">The Secretary of the Personnel Cabinet shall determine which personnel actions warrant a Personnel Action Notification to the employee, in accordance with KRS 18A.020 and 18A.095.</w:t>
      </w:r>
    </w:p>
    <w:p>
      <w:pPr>
        <w:pStyle w:val="kar_paragraph"/>
      </w:pPr>
      <w:r>
        <w:t xml:space="preserve">(b)</w:t>
      </w:r>
      <w:r>
        <w:t xml:space="preserve"> </w:t>
      </w:r>
      <w:r>
        <w:t xml:space="preserve">The secretary shall provide a Personnel Action Notification to the appointing authority.</w:t>
      </w:r>
    </w:p>
    <w:p>
      <w:pPr>
        <w:pStyle w:val="kar_paragraph"/>
      </w:pPr>
      <w:r>
        <w:t xml:space="preserve">(c)</w:t>
      </w:r>
      <w:r>
        <w:t xml:space="preserve"> </w:t>
      </w:r>
      <w:r>
        <w:t xml:space="preserve">The appointing authority shall provide a copy of a Personnel Action Notification to the employee affected by the action.</w:t>
      </w:r>
    </w:p>
    <w:p>
      <w:pPr>
        <w:pStyle w:val="kar_subsection"/>
      </w:pPr>
      <w:r>
        <w:t xml:space="preserve">(2)</w:t>
      </w:r>
      <w:r>
        <w:t xml:space="preserve"> </w:t>
      </w:r>
      <w:r>
        <w:t xml:space="preserve">The secretary shall maintain a leave record showing for each employee:</w:t>
      </w:r>
    </w:p>
    <w:p>
      <w:pPr>
        <w:pStyle w:val="kar_paragraph"/>
      </w:pPr>
      <w:r>
        <w:t xml:space="preserve">(a)</w:t>
      </w:r>
      <w:r>
        <w:t xml:space="preserve"> </w:t>
      </w:r>
      <w:r>
        <w:t xml:space="preserve">Annual leave earned, used and unused;</w:t>
      </w:r>
    </w:p>
    <w:p>
      <w:pPr>
        <w:pStyle w:val="kar_paragraph"/>
      </w:pPr>
      <w:r>
        <w:t xml:space="preserve">(b)</w:t>
      </w:r>
      <w:r>
        <w:t xml:space="preserve"> </w:t>
      </w:r>
      <w:r>
        <w:t xml:space="preserve">Sick leave earned, used and unused;</w:t>
      </w:r>
    </w:p>
    <w:p>
      <w:pPr>
        <w:pStyle w:val="kar_paragraph"/>
      </w:pPr>
      <w:r>
        <w:t xml:space="preserve">(c)</w:t>
      </w:r>
      <w:r>
        <w:t xml:space="preserve"> </w:t>
      </w:r>
      <w:r>
        <w:t xml:space="preserve">Compensatory leave earned, used and unused; and</w:t>
      </w:r>
    </w:p>
    <w:p>
      <w:pPr>
        <w:pStyle w:val="kar_paragraph"/>
      </w:pPr>
      <w:r>
        <w:t xml:space="preserve">(d)</w:t>
      </w:r>
      <w:r>
        <w:t xml:space="preserve"> </w:t>
      </w:r>
      <w:r>
        <w:t xml:space="preserve">Special leave or other leave with or without pay.</w:t>
      </w:r>
    </w:p>
    <w:p>
      <w:pPr>
        <w:pStyle w:val="kar_section"/>
      </w:pPr>
      <w:r>
        <w:t xml:space="preserve">Section 6.</w:t>
      </w:r>
      <w:r>
        <w:t xml:space="preserve"> </w:t>
      </w:r>
      <w:r>
        <w:t xml:space="preserve">Telecommuting.</w:t>
      </w:r>
    </w:p>
    <w:p>
      <w:pPr>
        <w:pStyle w:val="kar_subsection"/>
      </w:pPr>
      <w:r>
        <w:t xml:space="preserve">(1)</w:t>
      </w:r>
      <w:r>
        <w:t xml:space="preserve"> </w:t>
      </w:r>
      <w:r>
        <w:t xml:space="preserve">Telecommuting shall be a work arrangement in which a selected state employee is allowed to perform the normal duties and responsibilities of his or her position through the use of computer or telecommunications at home or another place apart from the employee's usual official work station or alternate work station.</w:t>
      </w:r>
    </w:p>
    <w:p>
      <w:pPr>
        <w:pStyle w:val="kar_subsection"/>
      </w:pPr>
      <w:r>
        <w:t xml:space="preserve">(2)</w:t>
      </w:r>
      <w:r>
        <w:t xml:space="preserve"> </w:t>
      </w:r>
      <w:r>
        <w:t xml:space="preserve">An appointing authority may establish a telecommuting program for all or any part of the agency.</w:t>
      </w:r>
    </w:p>
    <w:p>
      <w:pPr>
        <w:pStyle w:val="kar_subsection"/>
      </w:pPr>
      <w:r>
        <w:t xml:space="preserve">(3)</w:t>
      </w:r>
      <w:r>
        <w:t xml:space="preserve"> </w:t>
      </w:r>
      <w:r>
        <w:t xml:space="preserve">Eligibility and selection for participation in a telecommuting program shall be the decision of the agency, with no implied or specific right to participation being granted to an employee.</w:t>
      </w:r>
    </w:p>
    <w:p>
      <w:pPr>
        <w:pStyle w:val="kar_subsection"/>
      </w:pPr>
      <w:r>
        <w:t xml:space="preserve">(4)</w:t>
      </w:r>
      <w:r>
        <w:t xml:space="preserve"> </w:t>
      </w:r>
      <w:r>
        <w:t xml:space="preserve">The telecommuter's conditions of employment shall remain the same as for a nontelecommuting employee.</w:t>
      </w:r>
    </w:p>
    <w:p>
      <w:pPr>
        <w:pStyle w:val="kar_paragraph"/>
      </w:pPr>
      <w:r>
        <w:t xml:space="preserve">(a)</w:t>
      </w:r>
      <w:r>
        <w:t xml:space="preserve"> </w:t>
      </w:r>
      <w:r>
        <w:t xml:space="preserve">Employee salary, benefits, and employer-sponsored insurance coverage shall not change as a result of telecommuting.</w:t>
      </w:r>
    </w:p>
    <w:p>
      <w:pPr>
        <w:pStyle w:val="kar_paragraph"/>
      </w:pPr>
      <w:r>
        <w:t xml:space="preserve">(b)</w:t>
      </w:r>
      <w:r>
        <w:t xml:space="preserve"> </w:t>
      </w:r>
      <w:r>
        <w:t xml:space="preserve">The telecommuter shall be responsible for the security and confidentiality of data, as well as the protection of state-provided equipment, used and accessed during telecommuting.</w:t>
      </w:r>
    </w:p>
    <w:p>
      <w:pPr>
        <w:pStyle w:val="kar_paragraph"/>
      </w:pPr>
      <w:r>
        <w:t xml:space="preserve">(c)</w:t>
      </w:r>
      <w:r>
        <w:t xml:space="preserve"> </w:t>
      </w:r>
      <w:r>
        <w:t xml:space="preserve">The telecommuter shall agree to maintain a clean, safe workplace.</w:t>
      </w:r>
    </w:p>
    <w:p>
      <w:pPr>
        <w:pStyle w:val="kar_paragraph"/>
      </w:pPr>
      <w:r>
        <w:t xml:space="preserve">(d)</w:t>
      </w:r>
      <w:r>
        <w:t xml:space="preserve"> </w:t>
      </w:r>
      <w:r>
        <w:t xml:space="preserve">An on-site visit by the employer for monitoring of safety issues shall not require advance notice by the employer.</w:t>
      </w:r>
    </w:p>
    <w:p>
      <w:pPr>
        <w:pStyle w:val="kar_section"/>
      </w:pPr>
      <w:r>
        <w:t xml:space="preserve">Section 7.</w:t>
      </w:r>
      <w:r>
        <w:t xml:space="preserve"> </w:t>
      </w:r>
      <w:r>
        <w:t xml:space="preserve">Workplace Violence Policy.</w:t>
      </w:r>
    </w:p>
    <w:p>
      <w:pPr>
        <w:pStyle w:val="kar_subsection"/>
      </w:pPr>
      <w:r>
        <w:t xml:space="preserve">(1)</w:t>
      </w:r>
      <w:r>
        <w:t xml:space="preserve"> </w:t>
      </w:r>
      <w:r>
        <w:t xml:space="preserve">Workplace violence shall be prohibited and shall include:</w:t>
      </w:r>
    </w:p>
    <w:p>
      <w:pPr>
        <w:pStyle w:val="kar_paragraph"/>
      </w:pPr>
      <w:r>
        <w:t xml:space="preserve">(a)</w:t>
      </w:r>
      <w:r>
        <w:t xml:space="preserve"> </w:t>
      </w:r>
      <w:r>
        <w:t xml:space="preserve">The attempted, threatened, or actual conduct of a person who endangers or is likely to endanger the health and safety of state employees or the general public; or</w:t>
      </w:r>
    </w:p>
    <w:p>
      <w:pPr>
        <w:pStyle w:val="kar_paragraph"/>
      </w:pPr>
      <w:r>
        <w:t xml:space="preserve">(b)</w:t>
      </w:r>
      <w:r>
        <w:t xml:space="preserve"> </w:t>
      </w:r>
      <w:r>
        <w:t xml:space="preserve">A threatening statement, harassment, or behavior that gives a state employee or member of the general public reasonable cause to believe that his or her health or safety is at risk.</w:t>
      </w:r>
    </w:p>
    <w:p>
      <w:pPr>
        <w:pStyle w:val="kar_subsection"/>
      </w:pPr>
      <w:r>
        <w:t xml:space="preserve">(2)</w:t>
      </w:r>
      <w:r>
        <w:t xml:space="preserve"> </w:t>
      </w:r>
      <w:r>
        <w:t xml:space="preserve">Examples of prohibited workplace violence shall include:</w:t>
      </w:r>
    </w:p>
    <w:p>
      <w:pPr>
        <w:pStyle w:val="kar_paragraph"/>
      </w:pPr>
      <w:r>
        <w:t xml:space="preserve">(a)</w:t>
      </w:r>
      <w:r>
        <w:t xml:space="preserve"> </w:t>
      </w:r>
      <w:r>
        <w:t xml:space="preserve">Threats of harm;</w:t>
      </w:r>
    </w:p>
    <w:p>
      <w:pPr>
        <w:pStyle w:val="kar_paragraph"/>
      </w:pPr>
      <w:r>
        <w:t xml:space="preserve">(b)</w:t>
      </w:r>
      <w:r>
        <w:t xml:space="preserve"> </w:t>
      </w:r>
      <w:r>
        <w:t xml:space="preserve">Brandishing or displaying a weapon or an object that looks like a weapon in a manner that would present a safety risk to a state employee or a member of the general public or threatens or intimidates them;</w:t>
      </w:r>
    </w:p>
    <w:p>
      <w:pPr>
        <w:pStyle w:val="kar_paragraph"/>
      </w:pPr>
      <w:r>
        <w:t xml:space="preserve">(c)</w:t>
      </w:r>
      <w:r>
        <w:t xml:space="preserve"> </w:t>
      </w:r>
      <w:r>
        <w:t xml:space="preserve">Intimidating, threatening, or directing abusive language toward another person, either verbally, in writing or by gesture;</w:t>
      </w:r>
    </w:p>
    <w:p>
      <w:pPr>
        <w:pStyle w:val="kar_paragraph"/>
      </w:pPr>
      <w:r>
        <w:t xml:space="preserve">(d)</w:t>
      </w:r>
      <w:r>
        <w:t xml:space="preserve"> </w:t>
      </w:r>
      <w:r>
        <w:t xml:space="preserve">Stalking;</w:t>
      </w:r>
    </w:p>
    <w:p>
      <w:pPr>
        <w:pStyle w:val="kar_paragraph"/>
      </w:pPr>
      <w:r>
        <w:t xml:space="preserve">(e)</w:t>
      </w:r>
      <w:r>
        <w:t xml:space="preserve"> </w:t>
      </w:r>
      <w:r>
        <w:t xml:space="preserve">Striking, slapping, or otherwise physically attacking another person; or</w:t>
      </w:r>
    </w:p>
    <w:p>
      <w:pPr>
        <w:pStyle w:val="kar_paragraph"/>
      </w:pPr>
      <w:r>
        <w:t xml:space="preserve">(f)</w:t>
      </w:r>
      <w:r>
        <w:t xml:space="preserve"> </w:t>
      </w:r>
      <w:r>
        <w:t xml:space="preserve">Disobeying or failing to follow the reasonable directive of a supervisor to take action or cease actions that create a risk to the health or safety of a state employee or the public or threatens or intimidates them.</w:t>
      </w:r>
    </w:p>
    <w:p>
      <w:pPr>
        <w:pStyle w:val="kar_subsection"/>
      </w:pPr>
      <w:r>
        <w:t xml:space="preserve">(3)</w:t>
      </w:r>
      <w:r>
        <w:t xml:space="preserve"> </w:t>
      </w:r>
      <w:r>
        <w:t xml:space="preserve">Violation of this section shall constitute grounds for disciplinary action and referral for criminal prosecution.</w:t>
      </w:r>
    </w:p>
    <w:p>
      <w:pPr>
        <w:pStyle w:val="kar_section"/>
      </w:pPr>
      <w:r>
        <w:t xml:space="preserve">Section 8.</w:t>
      </w:r>
      <w:r>
        <w:t xml:space="preserve"> </w:t>
      </w:r>
      <w:r>
        <w:t xml:space="preserve">Issuance of Pay to State Employees.</w:t>
      </w:r>
    </w:p>
    <w:p>
      <w:pPr>
        <w:pStyle w:val="kar_subsection"/>
      </w:pPr>
      <w:r>
        <w:t xml:space="preserve">(1)</w:t>
      </w:r>
      <w:r>
        <w:t xml:space="preserve"> </w:t>
      </w:r>
      <w:r>
        <w:t xml:space="preserve">Pay shall be issued to state employees on the 15th and 30th day of each month.</w:t>
      </w:r>
    </w:p>
    <w:p>
      <w:pPr>
        <w:pStyle w:val="kar_subsection"/>
      </w:pPr>
      <w:r>
        <w:t xml:space="preserve">(2)</w:t>
      </w:r>
      <w:r>
        <w:t xml:space="preserve"> </w:t>
      </w:r>
      <w:r>
        <w:t xml:space="preserve">If the regularly scheduled pay date falls on a weekend, state employees shall be issued pay on the preceding Friday.</w:t>
      </w:r>
    </w:p>
    <w:p>
      <w:pPr>
        <w:pStyle w:val="kar_subsection"/>
      </w:pPr>
      <w:r>
        <w:t xml:space="preserve">(3)</w:t>
      </w:r>
      <w:r>
        <w:t xml:space="preserve"> </w:t>
      </w:r>
      <w:r>
        <w:t xml:space="preserve">If the regularly scheduled pay date falls on a state holiday, as defined in KRS 18A.190, pay shall be issued on the workday preceding the holiday.</w:t>
      </w:r>
    </w:p>
    <w:p>
      <w:pPr>
        <w:pStyle w:val="kar_section"/>
      </w:pPr>
      <w:r>
        <w:t xml:space="preserve">Section 9.</w:t>
      </w:r>
      <w:r>
        <w:t xml:space="preserve"> </w:t>
      </w:r>
      <w:r>
        <w:rPr>
          <w:u w:val="single"/>
        </w:rPr>
        <w:t xml:space="preserve">Correction of Errors. With the appointing authority's concurrence, the secretary may correct an executive branch agency's pay or leave error when in the best interest of the service.</w:t>
      </w:r>
    </w:p>
    <w:p>
      <w:pPr>
        <w:pStyle w:val="kar_section"/>
      </w:pPr>
      <w:r>
        <w:rPr>
          <w:u w:val="single"/>
        </w:rPr>
        <w:t xml:space="preserve">Section 10.</w:t>
      </w:r>
      <w:r>
        <w:t xml:space="preserve"> </w:t>
      </w:r>
      <w:r>
        <w:t xml:space="preserve">Incorporation by Reference.</w:t>
      </w:r>
    </w:p>
    <w:p>
      <w:pPr>
        <w:pStyle w:val="kar_subsection"/>
      </w:pPr>
      <w:r>
        <w:t xml:space="preserve">(1)</w:t>
      </w:r>
      <w:r>
        <w:t xml:space="preserve"> </w:t>
      </w:r>
      <w:r>
        <w:t xml:space="preserve">"Personnel Action Notification", PAN, August 2011,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p>
    <w:p>
      <w:pPr>
        <w:pStyle w:val="kar_signature"/>
      </w:pPr>
      <w:r>
        <w:t xml:space="preserve">GERINA D. WHETHERS, Secretary</w:t>
      </w:r>
    </w:p>
    <w:p>
      <w:pPr>
        <w:pStyle w:val="kar_normal"/>
      </w:pPr>
      <w:r>
        <w:t xml:space="preserve"/>
      </w:r>
    </w:p>
    <w:p>
      <w:pPr>
        <w:pStyle w:val="kar_approved_by"/>
      </w:pPr>
      <w:r>
        <w:t xml:space="preserve">APPROVED BY AGENCY: March 14, 2023</w:t>
      </w:r>
    </w:p>
    <w:p>
      <w:pPr>
        <w:pStyle w:val="kar_filed"/>
      </w:pPr>
      <w:r>
        <w:t xml:space="preserve">FILED WITH LRC: March 15, 2023 at 9:20 a.m.</w:t>
      </w:r>
    </w:p>
    <w:p>
      <w:pPr>
        <w:pStyle w:val="kar_normal"/>
      </w:pPr>
      <w:r>
        <w:t xml:space="preserve"/>
      </w:r>
    </w:p>
    <w:p>
      <w:pPr>
        <w:pStyle w:val="kar_comment_period"/>
      </w:pPr>
      <w:r>
        <w:t xml:space="preserve">PUBLIC HEARING AND PUBLIC COMMENT PERIOD: A public hearing on this administrative regulation shall be held on May 22, 2023, at 10:00 a.m. at 501 High Street, 3rd floor, Frankfort, Kentucky 40601. Individuals interested in being heard at this hearing shall notify this agency in writing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May 31, 2023. Send written notification of intent to be heard at the public hearing or written comments on the proposed administrative regulation to the contact person.</w:t>
      </w:r>
    </w:p>
    <w:p>
      <w:pPr>
        <w:pStyle w:val="kar_contact_person"/>
      </w:pPr>
      <w:r>
        <w:t xml:space="preserve">CONTACT PERSON: Rosemary Holbrook, Assistant General Counsel, Office of Legal Services, 501 High Street, 3rd floor, Frankfort, Kentucky 40601, phone (502) 564-7430, fax (502) 564-0224, email RosemaryG.Holbrook@ky.gov.</w:t>
      </w:r>
    </w:p>
    <w:p>
      <w:pPr>
        <w:pStyle w:val="kar_form_name"/>
      </w:pPr>
      <w:r>
        <w:t xml:space="preserve">REGULATORY IMPACT ANALYSIS AND TIERING STATEMENT</w:t>
      </w:r>
    </w:p>
    <w:p>
      <w:pPr>
        <w:pStyle w:val="kar_normal"/>
        <w:ind w:left="0"/>
      </w:pPr>
      <w:r>
        <w:t xml:space="preserve">Contact Person:</w:t>
      </w:r>
      <w:r>
        <w:t xml:space="preserve"> Rosemary Holbrook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requirements governing employee records, the maintenance and handling of these records, and other conditions of employment.</w:t>
      </w:r>
    </w:p>
    <w:p>
      <w:pPr>
        <w:pStyle w:val="kar_normal"/>
        <w:ind w:left="576"/>
      </w:pPr>
      <w:r>
        <w:t xml:space="preserve">(b) The necessity of this administrative regulation:</w:t>
      </w:r>
    </w:p>
    <w:p>
      <w:pPr>
        <w:pStyle w:val="kar_normal"/>
        <w:ind w:left="720"/>
      </w:pPr>
      <w:r>
        <w:t xml:space="preserve">This administrative regulation is necessary for the oversight and maintenance of the state employment system pursuant to KRS Chapter 18A.</w:t>
      </w:r>
    </w:p>
    <w:p>
      <w:pPr>
        <w:pStyle w:val="kar_normal"/>
        <w:ind w:left="576"/>
      </w:pPr>
      <w:r>
        <w:t xml:space="preserve">(c) How this administrative regulation conforms to the content of the authorizing statutes:</w:t>
      </w:r>
    </w:p>
    <w:p>
      <w:pPr>
        <w:pStyle w:val="kar_normal"/>
        <w:ind w:left="720"/>
      </w:pPr>
      <w:r>
        <w:t xml:space="preserve">Pursuant to 18A.030(2), the Personnel Cabinet Secretary is required to promulgate comprehensive regulations consistent with the provisions for KRS Chapter 18A. KRS 18A.110 provides that the secretary shall promulgate comprehensive administrative regulations for the classified and unclassified service.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is necessary to satisfy the statutory requirement of establishing for the state a system of personnel administration based on merit principles. This regulation sets forth general terms and conditions of employment, to assist in the consistent application and treatment of KRS Chapter 18 employees.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 new section is added for correction of errors. With the appointing authority’s concurrence, the secretary may correct an executive branch agency’s pay or leave error when in the best interest of the service.</w:t>
      </w:r>
    </w:p>
    <w:p>
      <w:pPr>
        <w:pStyle w:val="kar_normal"/>
        <w:ind w:left="576"/>
      </w:pPr>
      <w:r>
        <w:t xml:space="preserve">(b) The necessity of the amendment to this administrative regulation:</w:t>
      </w:r>
    </w:p>
    <w:p>
      <w:pPr>
        <w:pStyle w:val="kar_normal"/>
        <w:ind w:left="720"/>
      </w:pPr>
      <w:r>
        <w:t xml:space="preserve">This amendment clarifies that a correction of a pay or leave error may be made without the need for a legal order.</w:t>
      </w:r>
    </w:p>
    <w:p>
      <w:pPr>
        <w:pStyle w:val="kar_normal"/>
        <w:ind w:left="576"/>
      </w:pPr>
      <w:r>
        <w:t xml:space="preserve">(c) How the amendment conforms to the content of the authorizing statutes:</w:t>
      </w:r>
    </w:p>
    <w:p>
      <w:pPr>
        <w:pStyle w:val="kar_normal"/>
        <w:ind w:left="720"/>
      </w:pPr>
      <w:r>
        <w:t xml:space="preserve">This amendment is consistent with the authority provided in KRS 18A.030 and 18A.110.</w:t>
      </w:r>
    </w:p>
    <w:p>
      <w:pPr>
        <w:pStyle w:val="kar_normal"/>
        <w:ind w:left="576"/>
      </w:pPr>
      <w:r>
        <w:t xml:space="preserve">(d) How the amendment will assist in the effective administration of the statutes:</w:t>
      </w:r>
    </w:p>
    <w:p>
      <w:pPr>
        <w:pStyle w:val="kar_normal"/>
        <w:ind w:left="720"/>
      </w:pPr>
      <w:r>
        <w:t xml:space="preserve">This amendment clarifies that a correction of a pay or leave error may be made without the need for a legal order.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KRS Chapter 18A employees are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additional costs anticipated to any entity identified above.</w:t>
      </w:r>
    </w:p>
    <w:p>
      <w:pPr>
        <w:pStyle w:val="kar_normal"/>
        <w:ind w:left="576"/>
      </w:pPr>
      <w:r>
        <w:t xml:space="preserve">(c) As a result of compliance, what benefits will accrue to the entities identified in question (3):</w:t>
      </w:r>
    </w:p>
    <w:p>
      <w:pPr>
        <w:pStyle w:val="kar_normal"/>
        <w:ind w:left="720"/>
      </w:pPr>
      <w:r>
        <w:t xml:space="preserve">No additional benefits will accrue.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as amended, is not anticipated to generate any new or additional costs.</w:t>
      </w:r>
    </w:p>
    <w:p>
      <w:pPr>
        <w:pStyle w:val="kar_normal"/>
        <w:ind w:left="576"/>
      </w:pPr>
      <w:r>
        <w:t xml:space="preserve">(b) On a continuing basis:</w:t>
      </w:r>
    </w:p>
    <w:p>
      <w:pPr>
        <w:pStyle w:val="kar_normal"/>
        <w:ind w:left="720"/>
      </w:pPr>
      <w:r>
        <w:t xml:space="preserve">This regulation, as amended, is not anticipated to generate any new or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regulation, as amended, is not anticipated to generate any new or additional costs.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as amended, is not anticipated to generate any new or additional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administrative regulation treats all impacted entities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state agencies with employees covered under KRS Chapter 18A.</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18A.030(2) and 18A.110.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are no estimated additional costs to administer the amendments to this regulation.</w:t>
      </w:r>
    </w:p>
    <w:p>
      <w:pPr>
        <w:pStyle w:val="kar_normal"/>
        <w:ind w:left="576"/>
      </w:pPr>
      <w:r>
        <w:t xml:space="preserve">(d) How much will it cost to administer this program for subsequent years?</w:t>
      </w:r>
    </w:p>
    <w:p>
      <w:pPr>
        <w:pStyle w:val="kar_normal"/>
        <w:ind w:left="720"/>
      </w:pPr>
      <w:r>
        <w:t xml:space="preserve">There are no estimated additional costs to administer the amendments to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does not create any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regulation will not generate any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regulation does not create any cost for regulated entities during the first year.</w:t>
      </w:r>
    </w:p>
    <w:p>
      <w:pPr>
        <w:pStyle w:val="kar_normal"/>
        <w:ind w:left="576"/>
      </w:pPr>
      <w:r>
        <w:t xml:space="preserve">(d) How much will it cost the regulated entities for subsequent years?</w:t>
      </w:r>
    </w:p>
    <w:p>
      <w:pPr>
        <w:pStyle w:val="kar_normal"/>
        <w:ind w:left="720"/>
      </w:pPr>
      <w:r>
        <w:t xml:space="preserve">This regulation does not create any cost for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0dd10fcc5944e1" /><Relationship Type="http://schemas.openxmlformats.org/officeDocument/2006/relationships/settings" Target="/word/settings.xml" Id="R96ba2a34425949ad" /></Relationships>
</file>