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f57d46ee5b45f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Chiropractic Examiners</w:t>
      </w:r>
    </w:p>
    <w:p>
      <w:pPr>
        <w:pStyle w:val="kar_markup_header"/>
        <w:ind w:firstLine="0"/>
      </w:pPr>
      <w:r>
        <w:t>(Amendment)</w:t>
      </w:r>
    </w:p>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A completed New Licensee Application; and</w:t>
      </w:r>
    </w:p>
    <w:p>
      <w:pPr>
        <w:pStyle w:val="kar_subsection"/>
      </w:pPr>
      <w:r>
        <w:t xml:space="preserve">(2)</w:t>
      </w:r>
      <w:r>
        <w:t xml:space="preserve"> </w:t>
      </w:r>
      <w:r>
        <w:t xml:space="preserve">A nonrefundable application fee of $350.</w:t>
      </w:r>
    </w:p>
    <w:p>
      <w:pPr>
        <w:pStyle w:val="kar_subsection"/>
      </w:pPr>
      <w:r>
        <w:rPr>
          <w:u w:val="single"/>
        </w:rPr>
        <w:t xml:space="preserve">(3)</w:t>
      </w:r>
      <w:r>
        <w:t xml:space="preserve"> </w:t>
      </w:r>
      <w:r>
        <w:rPr>
          <w:u w:val="single"/>
        </w:rPr>
        <w:t xml:space="preserve">If the initial applicant graduated from chiropractic school more than four (4) years ago, proof of successfully passing the Special Purposes Examination for Chiropractic given by the National Board of Chiropractic Examiners within the past six (6) months shall be submitted to the board unless the initial applicant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rPr>
          <w:u w:val="single"/>
        </w:rPr>
        <w:t xml:space="preserve">(a)</w:t>
      </w:r>
      <w:r>
        <w:t xml:space="preserve"> </w:t>
      </w:r>
      <w:r>
        <w:rPr>
          <w:u w:val="single"/>
        </w:rPr>
        <w:t xml:space="preserve">The number, or approximate number, of patients treated per week;</w:t>
      </w:r>
    </w:p>
    <w:p>
      <w:pPr>
        <w:pStyle w:val="kar_paragraph"/>
      </w:pPr>
      <w:r>
        <w:rPr>
          <w:u w:val="single"/>
        </w:rPr>
        <w:t xml:space="preserve">(b)</w:t>
      </w:r>
      <w:r>
        <w:t xml:space="preserve"> </w:t>
      </w:r>
      <w:r>
        <w:rPr>
          <w:u w:val="single"/>
        </w:rPr>
        <w:t xml:space="preserve">The practice location(s) and address(es) at which the licensee has practiced, and the month and years of practice at each respective location; and</w:t>
      </w:r>
    </w:p>
    <w:p>
      <w:pPr>
        <w:pStyle w:val="kar_paragraph"/>
      </w:pPr>
      <w:r>
        <w:rPr>
          <w:u w:val="single"/>
        </w:rPr>
        <w:t xml:space="preserve">(c)</w:t>
      </w:r>
      <w:r>
        <w:t xml:space="preserve"> </w:t>
      </w:r>
      <w:r>
        <w:rPr>
          <w:u w:val="single"/>
        </w:rPr>
        <w:t xml:space="preserve">Any relevant information the licensee may submit to show active practice.</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Annual Inactive License Renewal Application;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w:t>
      </w:r>
      <w:r>
        <w:rPr>
          <w:strike w:val="true"/>
        </w:rPr>
        <w:t xml:space="preserve">1.</w:t>
      </w:r>
      <w:r>
        <w:t>]</w:t>
      </w:r>
      <w:r>
        <w:t xml:space="preserve"> </w:t>
      </w:r>
      <w:r>
        <w:t>[</w:t>
      </w:r>
      <w:r>
        <w:rPr>
          <w:strike w:val="true"/>
        </w:rPr>
        <w:t xml:space="preserve">A minimum of six (6) hours of the required twelve (12) hours obtained at a live event, which is an event at which both the licensee and presenter are present in-person;</w:t>
      </w:r>
      <w:r>
        <w:t>]</w:t>
      </w:r>
    </w:p>
    <w:p>
      <w:pPr>
        <w:pStyle w:val="kar_subparagraph"/>
      </w:pPr>
      <w:r>
        <w:rPr>
          <w:u w:val="single"/>
        </w:rPr>
        <w:t xml:space="preserve">1.</w:t>
      </w:r>
      <w:r>
        <w:t>[</w:t>
      </w:r>
      <w:r>
        <w:rPr>
          <w:strike w:val="true"/>
        </w:rPr>
        <w:t xml:space="preserve">2.</w:t>
      </w:r>
      <w:r>
        <w:t>]</w:t>
      </w:r>
      <w:r>
        <w:t xml:space="preserve"> </w:t>
      </w:r>
      <w:r>
        <w:t xml:space="preserve">No more than eight (8) hours completed in a day; and</w:t>
      </w:r>
    </w:p>
    <w:p>
      <w:pPr>
        <w:pStyle w:val="kar_subparagraph"/>
      </w:pPr>
      <w:r>
        <w:rPr>
          <w:u w:val="single"/>
        </w:rPr>
        <w:t xml:space="preserve">2.</w:t>
      </w:r>
      <w:r>
        <w:t>[</w:t>
      </w:r>
      <w:r>
        <w:rPr>
          <w:strike w:val="true"/>
        </w:rPr>
        <w:t xml:space="preserve">3.</w:t>
      </w:r>
      <w:r>
        <w:t>]</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A new licensee shall complete a two (2) hour jurisprudence course, provided by the board, </w:t>
      </w:r>
      <w:r>
        <w:rPr>
          <w:u w:val="single"/>
        </w:rPr>
        <w:t xml:space="preserve">by the licensee's first renewal</w:t>
      </w:r>
      <w:r>
        <w:t>[</w:t>
      </w:r>
      <w:r>
        <w:rPr>
          <w:strike w:val="true"/>
        </w:rPr>
        <w:t xml:space="preserve">within one (1) year of the date of the licensee's initial license approval.</w:t>
      </w:r>
      <w:r>
        <w:t>]</w:t>
      </w:r>
      <w:r>
        <w:rPr>
          <w:u w:val="single"/>
        </w:rPr>
        <w:t xml:space="preserve">; but shall not otherwise be required to complete the continuing education requirements set out in (3)(a) above until after the licensee's first renewal and before the licensees' second renewal.</w:t>
      </w:r>
      <w:r>
        <w:t>[</w:t>
      </w:r>
      <w:r>
        <w:rPr>
          <w:strike w:val="true"/>
        </w:rPr>
        <w:t xml:space="preserve">The course shall account for two (2) of the twelve (12) hours of continuing education required by paragraph (a) of this subsection.</w:t>
      </w:r>
      <w:r>
        <w:t>]</w:t>
      </w:r>
    </w:p>
    <w:p>
      <w:pPr>
        <w:pStyle w:val="kar_paragraph"/>
      </w:pPr>
      <w:r>
        <w:t>[</w:t>
      </w:r>
      <w:r>
        <w:rPr>
          <w:strike w:val="true"/>
        </w:rPr>
        <w:t xml:space="preserve">(c)</w:t>
      </w:r>
      <w:r>
        <w:t>]</w:t>
      </w:r>
      <w:r>
        <w:t xml:space="preserve"> </w:t>
      </w:r>
      <w:r>
        <w:t>[</w:t>
      </w:r>
      <w:r>
        <w:rPr>
          <w:strike w:val="true"/>
        </w:rPr>
        <w:t xml:space="preserve">A new licensee shall complete the licensee's required twelve (12) hours of continuing education by the first relicensing period following the completion of his or her first calendar year in practice.</w:t>
      </w:r>
      <w:r>
        <w:t>]</w:t>
      </w:r>
    </w:p>
    <w:p>
      <w:pPr>
        <w:pStyle w:val="kar_paragraph"/>
      </w:pPr>
      <w:r>
        <w:rPr>
          <w:u w:val="single"/>
        </w:rPr>
        <w:t xml:space="preserve">(c)</w:t>
      </w:r>
      <w:r>
        <w:t>[</w:t>
      </w:r>
      <w:r>
        <w:rPr>
          <w:strike w:val="true"/>
        </w:rPr>
        <w:t xml:space="preserve">(d)</w:t>
      </w:r>
      <w:r>
        <w:t>]</w:t>
      </w:r>
      <w:r>
        <w:t xml:space="preserve"> </w:t>
      </w:r>
      <w:r>
        <w:t xml:space="preserve">An inactive licensee may renew the inactive license without meeting the continuing education requirements required by this subsection.</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w:t>
      </w:r>
      <w:r>
        <w:rPr>
          <w:u w:val="single"/>
        </w:rPr>
        <w:t xml:space="preserve"> unless the licensee submits proof acceptable to the board of active practice under a license in good standing in another state or jurisdiction. In determining whether to accept proof of active practice, the board shall consider the following submitted by the licensee in writing:</w:t>
      </w:r>
      <w:r>
        <w:t>[</w:t>
      </w:r>
      <w:r>
        <w:rPr>
          <w:strike w:val="true"/>
        </w:rPr>
        <w:t xml:space="preserve">.</w:t>
      </w:r>
      <w:r>
        <w:t>]</w:t>
      </w:r>
    </w:p>
    <w:p>
      <w:pPr>
        <w:pStyle w:val="kar_paragraph"/>
      </w:pPr>
      <w:r>
        <w:rPr>
          <w:u w:val="single"/>
        </w:rPr>
        <w:t xml:space="preserve">(a)</w:t>
      </w:r>
      <w:r>
        <w:t xml:space="preserve"> </w:t>
      </w:r>
      <w:r>
        <w:rPr>
          <w:u w:val="single"/>
        </w:rPr>
        <w:t xml:space="preserve">The number, or approximate number, of patients treated per week;</w:t>
      </w:r>
    </w:p>
    <w:p>
      <w:pPr>
        <w:pStyle w:val="kar_paragraph"/>
      </w:pPr>
      <w:r>
        <w:rPr>
          <w:u w:val="single"/>
        </w:rPr>
        <w:t xml:space="preserve">(b)</w:t>
      </w:r>
      <w:r>
        <w:t xml:space="preserve"> </w:t>
      </w:r>
      <w:r>
        <w:rPr>
          <w:u w:val="single"/>
        </w:rPr>
        <w:t xml:space="preserve">The practice location(s) and address(es) at which the licensee has practiced, and the month and years of practice at each respective location; and</w:t>
      </w:r>
    </w:p>
    <w:p>
      <w:pPr>
        <w:pStyle w:val="kar_paragraph"/>
      </w:pPr>
      <w:r>
        <w:rPr>
          <w:u w:val="single"/>
        </w:rPr>
        <w:t xml:space="preserve">(c)</w:t>
      </w:r>
      <w:r>
        <w:t xml:space="preserve"> </w:t>
      </w:r>
      <w:r>
        <w:rPr>
          <w:u w:val="single"/>
        </w:rPr>
        <w:t xml:space="preserve">Any relevant information the licensee may submit to show active practice.</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Application for Licensure, DPL-KBCE-01, March 2023;</w:t>
      </w:r>
      <w:r>
        <w:t>[</w:t>
      </w:r>
      <w:r>
        <w:rPr>
          <w:strike w:val="true"/>
        </w:rPr>
        <w:t xml:space="preserve">"New Licensee Application", 2016;</w:t>
      </w:r>
      <w:r>
        <w:t>]</w:t>
      </w:r>
    </w:p>
    <w:p>
      <w:pPr>
        <w:pStyle w:val="kar_paragraph"/>
      </w:pPr>
      <w:r>
        <w:t xml:space="preserve">(b)</w:t>
      </w:r>
      <w:r>
        <w:t xml:space="preserve"> </w:t>
      </w:r>
      <w:r>
        <w:t xml:space="preserve">"Application for Annual License Renewal", </w:t>
      </w:r>
      <w:r>
        <w:rPr>
          <w:u w:val="single"/>
        </w:rPr>
        <w:t xml:space="preserve">DPL-KBCE-03, March 2023;</w:t>
      </w:r>
      <w:r>
        <w:t>[</w:t>
      </w:r>
      <w:r>
        <w:rPr>
          <w:strike w:val="true"/>
        </w:rPr>
        <w:t xml:space="preserve">September 2020;</w:t>
      </w:r>
      <w:r>
        <w:t>]</w:t>
      </w:r>
    </w:p>
    <w:p>
      <w:pPr>
        <w:pStyle w:val="kar_paragraph"/>
      </w:pPr>
      <w:r>
        <w:t>[</w:t>
      </w:r>
      <w:r>
        <w:rPr>
          <w:strike w:val="true"/>
        </w:rPr>
        <w:t xml:space="preserve">(c)</w:t>
      </w:r>
      <w:r>
        <w:t>]</w:t>
      </w:r>
      <w:r>
        <w:t xml:space="preserve"> </w:t>
      </w:r>
      <w:r>
        <w:t>[</w:t>
      </w:r>
      <w:r>
        <w:rPr>
          <w:strike w:val="true"/>
        </w:rPr>
        <w:t xml:space="preserve">"Annual Inactive License Renewal Application", 2013; and</w:t>
      </w:r>
      <w:r>
        <w:t>]</w:t>
      </w:r>
    </w:p>
    <w:p>
      <w:pPr>
        <w:pStyle w:val="kar_paragraph"/>
      </w:pPr>
      <w:r>
        <w:rPr>
          <w:u w:val="single"/>
        </w:rPr>
        <w:t xml:space="preserve">(c)</w:t>
      </w:r>
      <w:r>
        <w:t>[</w:t>
      </w:r>
      <w:r>
        <w:rPr>
          <w:strike w:val="true"/>
        </w:rPr>
        <w:t xml:space="preserve">(d)</w:t>
      </w:r>
      <w:r>
        <w:t>]</w:t>
      </w:r>
      <w:r>
        <w:t xml:space="preserve"> </w:t>
      </w:r>
      <w:r>
        <w:t xml:space="preserve">"Application for Activation or Reinstatement of Kentucky License", </w:t>
      </w:r>
      <w:r>
        <w:rPr>
          <w:u w:val="single"/>
        </w:rPr>
        <w:t xml:space="preserve">DPL-KBCE-04, March 2023</w:t>
      </w:r>
      <w:r>
        <w:t>[</w:t>
      </w:r>
      <w:r>
        <w:rPr>
          <w:strike w:val="true"/>
        </w:rPr>
        <w:t xml:space="preserve">2013</w:t>
      </w:r>
      <w:r>
        <w:t>]</w:t>
      </w:r>
      <w:r>
        <w:t xml:space="preserv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4:30 p.m.</w:t>
      </w:r>
    </w:p>
    <w:p>
      <w:pPr>
        <w:pStyle w:val="kar_signature"/>
      </w:pPr>
      <w:r>
        <w:t xml:space="preserve">DR. JAMES ENGLAND, Chair</w:t>
      </w:r>
    </w:p>
    <w:p>
      <w:pPr>
        <w:pStyle w:val="kar_normal"/>
      </w:pPr>
      <w:r>
        <w:t xml:space="preserve"/>
      </w:r>
    </w:p>
    <w:p>
      <w:pPr>
        <w:pStyle w:val="kar_approved_by"/>
      </w:pPr>
      <w:r>
        <w:t xml:space="preserve">APPROVED BY AGENCY: March 13, 2023</w:t>
      </w:r>
    </w:p>
    <w:p>
      <w:pPr>
        <w:pStyle w:val="kar_filed"/>
      </w:pPr>
      <w:r>
        <w:t xml:space="preserve">FILED WITH LRC: March 14, 2023 at 1:15 p.m.</w:t>
      </w:r>
    </w:p>
    <w:p>
      <w:pPr>
        <w:pStyle w:val="kar_normal"/>
      </w:pPr>
      <w:r>
        <w:t xml:space="preserve"/>
      </w:r>
    </w:p>
    <w:p>
      <w:pPr>
        <w:pStyle w:val="kar_comment_period"/>
      </w:pPr>
      <w:r>
        <w:t xml:space="preserve">PUBLIC HEARING AND PUBLIC COMMENT PERIOD: A public hearing on this administrative regulation shall, if re-quested, be held on May 25, 2023 at 12:00 noon EST in Room 127CW,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 Join from PC, Mac, Linux, iOS or Android: https://us06web.zoom.us/j/82428127008?pwd=blg4a3hSZVkvTnFtUnpMWDFaNkY5QT09 // Password: 059844 // Or Telephone: Dial: USA 713 353 0212; USA 8888227517 (US Toll Free) // Con-ference code: 446599. Individuals interested in attending this hearing shall notify this agency in writing by May 20, 2023,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Clayton Patrick, General Counsel, Department of Professional Licensing, 500 Mero Street 237 CW, phone (502) 782-0562 (office), fax (502) 564-4818, email Clayton.Patrick@ky.gov.</w:t>
      </w:r>
    </w:p>
    <w:p>
      <w:pPr>
        <w:pStyle w:val="kar_form_name"/>
      </w:pPr>
      <w:r>
        <w:t xml:space="preserve">REGULATORY IMPACT ANALYSIS AND TIERING STATEMENT</w:t>
      </w:r>
    </w:p>
    <w:p>
      <w:pPr>
        <w:pStyle w:val="kar_normal"/>
        <w:ind w:left="0"/>
      </w:pPr>
      <w:r>
        <w:t xml:space="preserve">Contact Person:</w:t>
      </w:r>
      <w:r>
        <w:t xml:space="preserve"> Clayton 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normal"/>
        <w:ind w:left="576"/>
      </w:pPr>
      <w:r>
        <w:t xml:space="preserve">(b) The necessity of this administrative regulation:</w:t>
      </w:r>
    </w:p>
    <w:p>
      <w:pPr>
        <w:pStyle w:val="kar_normal"/>
        <w:ind w:left="720"/>
      </w:pPr>
      <w:r>
        <w:t xml:space="preserve">This administrative regulation is required by KRS 312.019.</w:t>
      </w:r>
    </w:p>
    <w:p>
      <w:pPr>
        <w:pStyle w:val="kar_normal"/>
        <w:ind w:left="576"/>
      </w:pPr>
      <w:r>
        <w:t xml:space="preserve">(c) How this administrative regulation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related to licensing standards and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312 by carrying out the legislative mandate for the board to establish requirements for licensing standards and continuing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establish licensing standards for initial applicants, allow licensees to obtain continuing education from on-line sources without limitation, and will establish licensing standards for reactivation and reinstatement.</w:t>
      </w:r>
    </w:p>
    <w:p>
      <w:pPr>
        <w:pStyle w:val="kar_normal"/>
        <w:ind w:left="576"/>
      </w:pPr>
      <w:r>
        <w:t xml:space="preserve">(b) The necessity of the amendment to this administrative regulation:</w:t>
      </w:r>
    </w:p>
    <w:p>
      <w:pPr>
        <w:pStyle w:val="kar_normal"/>
        <w:ind w:left="720"/>
      </w:pPr>
      <w:r>
        <w:t xml:space="preserve">The amendment is necessary to establish licensing standards for initial applicants, reactivation, and reinstatement to protect the public and to allow chiropractors to obtain continuing education by either in-person or online attendance without restrictions.</w:t>
      </w:r>
    </w:p>
    <w:p>
      <w:pPr>
        <w:pStyle w:val="kar_normal"/>
        <w:ind w:left="576"/>
      </w:pPr>
      <w:r>
        <w:t xml:space="preserve">(c) How the amendment conforms to the content of the authorizing statutes:</w:t>
      </w:r>
    </w:p>
    <w:p>
      <w:pPr>
        <w:pStyle w:val="kar_normal"/>
        <w:ind w:left="720"/>
      </w:pPr>
      <w:r>
        <w:t xml:space="preserve">KRS 312.019(9) authorizes the Kentucky Board of Chiropractic Examiners to promulgate administrative regulations consistent with KRS Chapter 3I2, regulating the practice of chiropractic. This administrative regulation establishes requirements related to licensing standards for initial applicants, reactivation or reinstatement and continuing education.</w:t>
      </w:r>
    </w:p>
    <w:p>
      <w:pPr>
        <w:pStyle w:val="kar_normal"/>
        <w:ind w:left="576"/>
      </w:pPr>
      <w:r>
        <w:t xml:space="preserve">(d) How the amendment will assist in the effective administration of the statutes:</w:t>
      </w:r>
    </w:p>
    <w:p>
      <w:pPr>
        <w:pStyle w:val="kar_normal"/>
        <w:ind w:left="720"/>
      </w:pPr>
      <w:r>
        <w:t xml:space="preserve">See 2(c)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919 active licensed chiropractors and 119 inactive licensed chiropractors practicing in the Commonwealth of Kentucky, as well as an unknown number of initial applicants; and an unknown number of their patients who depend on their chiropractor having the appropriate licensing standards and remaining current with their training.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require applicants for reactivation or reinstatement to take the SPEC exam, or show proof of active practice within the last four (4) years, and require initial applicants who have graduated more than four (4) years to take the SPEC exam, or show proof of active practice within the last four (4) years, that is satisfactory to the board and also allow chiropractors to obtain continuing education from sources other than live, in-person providers which may reduce the costs associated with time and travel to the event.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$1500.00. This regulation should add no additional cost to the licensed chiropractor in obtaining continuing education which may reduce the costs associated with time and travel to the event.</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initial applicants and those for reactivation or reinstatement to ensure they have adequate knowledge to perform their duties as required by law and will allow chiropractors to obtain continuing education from both in-person and online providers without restriction.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an additional cost for the administrative body and any additional costs would be minimal.</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Chiropractic Examiners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applicable because similarly situated licensees are treated similarly under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Chiropractic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the agency beyond regular monitoring of continuing education for license renewals. There may be additional costs to the agency for the review of experience in the last 4 years, but it will be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is indeterminable but could occur due to reduction in time and travel expenses for continuing education.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is indeterminable but could occur due to reduction in time and travel expenses for continuing education.</w:t>
      </w:r>
    </w:p>
    <w:p>
      <w:pPr>
        <w:pStyle w:val="kar_normal"/>
        <w:ind w:left="576"/>
      </w:pPr>
      <w:r>
        <w:t xml:space="preserve">(c) How much will it cost the regulated entities for the first year?</w:t>
      </w:r>
    </w:p>
    <w:p>
      <w:pPr>
        <w:pStyle w:val="kar_normal"/>
        <w:ind w:left="720"/>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$1500.00. This regulation should add no additional cost to the licensed chiropractor in obtaining continuing education and may reduce the costs associated with time and travel to the event.</w:t>
      </w:r>
    </w:p>
    <w:p>
      <w:pPr>
        <w:pStyle w:val="kar_normal"/>
        <w:ind w:left="576"/>
      </w:pPr>
      <w:r>
        <w:t xml:space="preserve">(d) How much will it cost the regulated entities for subsequent years?</w:t>
      </w:r>
    </w:p>
    <w:p>
      <w:pPr>
        <w:pStyle w:val="kar_normal"/>
        <w:ind w:left="720"/>
      </w:pPr>
      <w:r>
        <w:t xml:space="preserve">The cost of obtaining required continuing education only, which is indeterminable.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$1500.00. This regulation should add no additional cost to the licensed chiropractor in obtaining continuing education and may reduce the costs associated with time and travel to an event.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615f15ea74202" /><Relationship Type="http://schemas.openxmlformats.org/officeDocument/2006/relationships/settings" Target="/word/settings.xml" Id="Rb7ab8bd2bbf745d8" /></Relationships>
</file>