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69abde24cf48a5" /></Relationships>
</file>

<file path=word/document.xml><?xml version="1.0" encoding="utf-8"?>
<w:document xmlns:w="http://schemas.openxmlformats.org/wordprocessingml/2006/main">
  <w:body>
    <w:p>
      <w:pPr>
        <w:pStyle w:val="kar_citation"/>
      </w:pPr>
      <w:r>
        <w:t>201 KAR 16:572.</w:t>
      </w:r>
      <w:r>
        <w:t xml:space="preserve"> </w:t>
      </w:r>
      <w:r>
        <w:t xml:space="preserve">Certificate renewal for animal control agencies and animal euthanasia specialists; renewal notice.</w:t>
      </w:r>
    </w:p>
    <w:p>
      <w:pPr>
        <w:pStyle w:val="kar_markup_metadata"/>
      </w:pPr>
      <w:r>
        <w:t xml:space="preserve">RELATES TO: </w:t>
      </w:r>
      <w:r>
        <w:t xml:space="preserve">KRS 321.207</w:t>
      </w:r>
    </w:p>
    <w:p>
      <w:pPr>
        <w:pStyle w:val="kar_markup_metadata"/>
      </w:pPr>
      <w:r>
        <w:t xml:space="preserve">STATUTORY AUTHORITY: </w:t>
      </w:r>
      <w:r>
        <w:t xml:space="preserve">KRS 321.207(1), (3), 321.235(3), 321.240(5)</w:t>
      </w:r>
    </w:p>
    <w:p>
      <w:pPr>
        <w:pStyle w:val="kar_markup_metadata"/>
      </w:pPr>
      <w:r>
        <w:t xml:space="preserve">NECESSITY, FUNCTION, AND CONFORMITY: </w:t>
      </w:r>
      <w:r>
        <w:t xml:space="preserve">KRS 321.207(1) and (3) require the Kentucky Board of Veterinary Examiners to issue a certificate to all animal control agencies being qualified to register with the United States Drug Enforcement Administration (DEA) to purchase, possess, and use board authorized controlled substances, and to all persons qualified to engage in the practice of animal euthanasia in the Commonwealth of Kentucky. KRS 321.235(3) and 321.240(5) authorize the board to promulgate administrative regulations to implement KRS Chapter 321. This administrative regulation requires a renewal notice to all certified animal control agencies and animal euthanasia specialists and requires all certified animal control agencies and animal euthanasia specialists to complete the renewal application and return it, along with the renewal fee to the board. It further requires all certified animal control agencies and animal euthanasia specialists to keep the board apprised of the legal name and current address of the certificate holder.</w:t>
      </w:r>
    </w:p>
    <w:p>
      <w:pPr>
        <w:pStyle w:val="kar_section"/>
      </w:pPr>
      <w:r>
        <w:t xml:space="preserve">Section 1.</w:t>
      </w:r>
      <w:r>
        <w:t xml:space="preserve"> </w:t>
      </w:r>
      <w:r>
        <w:t xml:space="preserve"> </w:t>
      </w:r>
    </w:p>
    <w:p>
      <w:pPr>
        <w:pStyle w:val="kar_subsection"/>
      </w:pPr>
      <w:r>
        <w:t xml:space="preserve">(1)</w:t>
      </w:r>
      <w:r>
        <w:t xml:space="preserve"> </w:t>
      </w:r>
      <w:r>
        <w:t xml:space="preserve">The board shall, not later than February 1 of each year, email or mail to each certified animal control agency and animal euthanasia specialist a renewal notice.</w:t>
      </w:r>
    </w:p>
    <w:p>
      <w:pPr>
        <w:pStyle w:val="kar_subsection"/>
      </w:pPr>
      <w:r>
        <w:t xml:space="preserve">(2)</w:t>
      </w:r>
      <w:r>
        <w:t xml:space="preserve"> </w:t>
      </w:r>
      <w:r>
        <w:t xml:space="preserve">The renewal application shall be completed by the credential holder and returned to the board, including all required attachments and fees.</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March 1 or earlier shall be considered received on time.</w:t>
      </w:r>
    </w:p>
    <w:p>
      <w:pPr>
        <w:pStyle w:val="kar_paragraph"/>
      </w:pPr>
      <w:r>
        <w:t xml:space="preserve">(b)</w:t>
      </w:r>
      <w:r>
        <w:t xml:space="preserve"> </w:t>
      </w:r>
      <w:r>
        <w:t xml:space="preserve">Renewals bearing a postmark, or, if an online renewal, a timestamp, between March 2 and April 30 shall be considered late and therefore incur a late fee pursuant to 201 KAR 16:514.</w:t>
      </w:r>
    </w:p>
    <w:p>
      <w:pPr>
        <w:pStyle w:val="kar_subsection"/>
      </w:pPr>
      <w:r>
        <w:t xml:space="preserve">(4)</w:t>
      </w:r>
      <w:r>
        <w:t xml:space="preserve"> </w:t>
      </w:r>
      <w:r>
        <w:t xml:space="preserve">The renewal fee shall be attached to the completed renewal form when it is returned to the board.</w:t>
      </w:r>
    </w:p>
    <w:p>
      <w:pPr>
        <w:pStyle w:val="kar_paragraph"/>
      </w:pPr>
      <w:r>
        <w:t xml:space="preserve">(a)</w:t>
      </w:r>
      <w:r>
        <w:t xml:space="preserve"> </w:t>
      </w:r>
      <w:r>
        <w:t xml:space="preserve">For certified animal control agencies, the renewal form shall be the Renewal Application for Animal Control Agencies form or online equivalent form, including all required attachments.</w:t>
      </w:r>
    </w:p>
    <w:p>
      <w:pPr>
        <w:pStyle w:val="kar_paragraph"/>
      </w:pPr>
      <w:r>
        <w:t xml:space="preserve">(b)</w:t>
      </w:r>
      <w:r>
        <w:t xml:space="preserve"> </w:t>
      </w:r>
      <w:r>
        <w:t xml:space="preserve">For certified animal euthanasia specialists, the renewal form shall be the Renewal Application for Animal Euthanasia Specialists form or online equivalent form, including all required attachments.</w:t>
      </w:r>
    </w:p>
    <w:p>
      <w:pPr>
        <w:pStyle w:val="kar_subsection"/>
      </w:pPr>
      <w:r>
        <w:t xml:space="preserve">(5)</w:t>
      </w:r>
      <w:r>
        <w:t xml:space="preserve"> </w:t>
      </w:r>
      <w:r>
        <w:t xml:space="preserve">The renewal fee shall be paid in accordance with 201 KAR 16:514.</w:t>
      </w:r>
    </w:p>
    <w:p>
      <w:pPr>
        <w:pStyle w:val="kar_section"/>
      </w:pPr>
      <w:r>
        <w:t xml:space="preserve">Section 2.</w:t>
      </w:r>
      <w:r>
        <w:t xml:space="preserve"> </w:t>
      </w:r>
      <w:r>
        <w:t xml:space="preserve">The board shall not be held responsible or liable for lost renewal notices, or renewal notices not received, or not received on time.</w:t>
      </w:r>
    </w:p>
    <w:p>
      <w:pPr>
        <w:pStyle w:val="kar_subsection"/>
      </w:pPr>
      <w:r>
        <w:t xml:space="preserve">(1)</w:t>
      </w:r>
      <w:r>
        <w:t xml:space="preserve"> </w:t>
      </w:r>
      <w:r>
        <w:t xml:space="preserve">Regardless of cause, the board shall not have to refund money to a certificate holder who fails to renew in a timely manner pursuant to Section 1(3) of this administrative regulation.</w:t>
      </w:r>
    </w:p>
    <w:p>
      <w:pPr>
        <w:pStyle w:val="kar_subsection"/>
      </w:pPr>
      <w:r>
        <w:t xml:space="preserve">(2)</w:t>
      </w:r>
      <w:r>
        <w:t xml:space="preserve"> </w:t>
      </w:r>
      <w:r>
        <w:t xml:space="preserve">If a certificate holder fails to renew by the grace period deadline, the certificate shall expire. The former certificate holder may apply for reinstatement of the certificate within five (5) years from the date of expiration in accordance with 201 KAR 16:550 and 201 KAR 16:560. A reinstatement application shall be required during this period; an application for a new certificate shall not be accepted until five (5) years after the last date of expiration.</w:t>
      </w:r>
    </w:p>
    <w:p>
      <w:pPr>
        <w:pStyle w:val="kar_section"/>
      </w:pPr>
      <w:r>
        <w:t xml:space="preserve">Section 3.</w:t>
      </w:r>
      <w:r>
        <w:t xml:space="preserve"> </w:t>
      </w:r>
      <w:r>
        <w:t xml:space="preserve">Current contact information shall be on file with the board.</w:t>
      </w:r>
    </w:p>
    <w:p>
      <w:pPr>
        <w:pStyle w:val="kar_subsection"/>
      </w:pPr>
      <w:r>
        <w:t xml:space="preserve">(1)</w:t>
      </w:r>
      <w:r>
        <w:t xml:space="preserve"> </w:t>
      </w:r>
      <w:r>
        <w:t xml:space="preserve"> </w:t>
      </w:r>
    </w:p>
    <w:p>
      <w:pPr>
        <w:pStyle w:val="kar_paragraph"/>
      </w:pPr>
      <w:r>
        <w:t xml:space="preserve">(a)</w:t>
      </w:r>
      <w:r>
        <w:t xml:space="preserve"> </w:t>
      </w:r>
      <w:r>
        <w:t xml:space="preserve">Every certified animal control agency shall:</w:t>
      </w:r>
    </w:p>
    <w:p>
      <w:pPr>
        <w:pStyle w:val="kar_subparagraph"/>
      </w:pPr>
      <w:r>
        <w:t xml:space="preserve">1.</w:t>
      </w:r>
      <w:r>
        <w:t xml:space="preserve"> </w:t>
      </w:r>
      <w:r>
        <w:t xml:space="preserve">File a proper and current mailing address, phone, and, if available, email with the board at its principal office;</w:t>
      </w:r>
    </w:p>
    <w:p>
      <w:pPr>
        <w:pStyle w:val="kar_subparagraph"/>
      </w:pPr>
      <w:r>
        <w:t xml:space="preserve">2.</w:t>
      </w:r>
      <w:r>
        <w:t xml:space="preserve"> </w:t>
      </w:r>
      <w:r>
        <w:t xml:space="preserve">Within thirty (30) days, notify the board of any changes of the agency's mailing address by submitting a completed Request for Name or Address Change form or online equivalent form provided by the board; and</w:t>
      </w:r>
    </w:p>
    <w:p>
      <w:pPr>
        <w:pStyle w:val="kar_subparagraph"/>
      </w:pPr>
      <w:r>
        <w:t xml:space="preserve">3.</w:t>
      </w:r>
      <w:r>
        <w:t xml:space="preserve"> </w:t>
      </w:r>
      <w:r>
        <w:t xml:space="preserve">Identify on the renewal form each person who is currently employed for the purpose of animal euthanasia and each board credential holder who is employed with, either directly or by contract or agreement, to conduct animal euthanasia or the practice of veterinary medicine or the practice of veterinary technology at the animal control agency.</w:t>
      </w:r>
    </w:p>
    <w:p>
      <w:pPr>
        <w:pStyle w:val="kar_paragraph"/>
      </w:pPr>
      <w:r>
        <w:t xml:space="preserve">(b)</w:t>
      </w:r>
      <w:r>
        <w:t xml:space="preserve"> </w:t>
      </w:r>
      <w:r>
        <w:t xml:space="preserve"> </w:t>
      </w:r>
    </w:p>
    <w:p>
      <w:pPr>
        <w:pStyle w:val="kar_subparagraph"/>
      </w:pPr>
      <w:r>
        <w:t xml:space="preserve">1.</w:t>
      </w:r>
      <w:r>
        <w:t xml:space="preserve"> </w:t>
      </w:r>
      <w:r>
        <w:t xml:space="preserve">Every certified animal control agency shall file an update with the board to notify the board of any changes to the designated on-site manager tasked with management of controlled substances and the euthanasia program pursuant to 201 KAR 16:550, or of any changes of the on-site manager's legal name or personal address.</w:t>
      </w:r>
    </w:p>
    <w:p>
      <w:pPr>
        <w:pStyle w:val="kar_subparagraph"/>
      </w:pPr>
      <w:r>
        <w:t xml:space="preserve">2.</w:t>
      </w:r>
      <w:r>
        <w:t xml:space="preserve"> </w:t>
      </w:r>
      <w:r>
        <w:t xml:space="preserve">Updates may be filed on the annual Renewal Application for Animal Control Agencies form or online equivalent form, or on the Request for a New Designated On-site Manager form or online equivalent form, including all required attachments.</w:t>
      </w:r>
    </w:p>
    <w:p>
      <w:pPr>
        <w:pStyle w:val="kar_paragraph"/>
      </w:pPr>
      <w:r>
        <w:t xml:space="preserve">(c)</w:t>
      </w:r>
      <w:r>
        <w:t xml:space="preserve"> </w:t>
      </w:r>
      <w:r>
        <w:t xml:space="preserve">Background checks. For a new agency designated on-site manager, the board may conduct a national or jurisdictional level background check on each designated on-site manager. The check shall be processed by a board approved background check provider, and may include a copy of the designated on-site manager's fingerprints captured at a board approved location. The board may accept the results of an employment background check from the county office in lieu of a state or federal background check if the background check results are not more than six (6) months old from the date of application. The board may reject background checks that do not have an official seal or watermark, or that are more than ninety (90) days old. The board may impose additional requirements as a condition of certification or deny certification following the board's review of findings from a background check. The results shall be submitted to the board within thirty (30) days of designating a new designated on-site manager.</w:t>
      </w:r>
    </w:p>
    <w:p>
      <w:pPr>
        <w:pStyle w:val="kar_subsection"/>
      </w:pPr>
      <w:r>
        <w:t xml:space="preserve">(2)</w:t>
      </w:r>
      <w:r>
        <w:t xml:space="preserve"> </w:t>
      </w:r>
      <w:r>
        <w:t xml:space="preserve"> </w:t>
      </w:r>
    </w:p>
    <w:p>
      <w:pPr>
        <w:pStyle w:val="kar_paragraph"/>
      </w:pPr>
      <w:r>
        <w:t xml:space="preserve">(a)</w:t>
      </w:r>
      <w:r>
        <w:t xml:space="preserve"> </w:t>
      </w:r>
      <w:r>
        <w:t xml:space="preserve">Every certified animal euthanasia specialist shall:</w:t>
      </w:r>
    </w:p>
    <w:p>
      <w:pPr>
        <w:pStyle w:val="kar_subparagraph"/>
      </w:pPr>
      <w:r>
        <w:t xml:space="preserve">1.</w:t>
      </w:r>
      <w:r>
        <w:t xml:space="preserve"> </w:t>
      </w:r>
      <w:r>
        <w:t xml:space="preserve">File his or her legal name and proper and current mailing address with the board at its principal office; and</w:t>
      </w:r>
    </w:p>
    <w:p>
      <w:pPr>
        <w:pStyle w:val="kar_subparagraph"/>
      </w:pPr>
      <w:r>
        <w:t xml:space="preserve">2.</w:t>
      </w:r>
      <w:r>
        <w:t xml:space="preserve"> </w:t>
      </w:r>
      <w:r>
        <w:t xml:space="preserve">Within thirty (30) days, notify the board of any changes of his or her legal name or mailing address by submitting a completed Request for Name or Address Change form or online equivalent form provided by the board.</w:t>
      </w:r>
    </w:p>
    <w:p>
      <w:pPr>
        <w:pStyle w:val="kar_paragraph"/>
      </w:pPr>
      <w:r>
        <w:t xml:space="preserve">(b)</w:t>
      </w:r>
      <w:r>
        <w:t xml:space="preserve"> </w:t>
      </w:r>
      <w:r>
        <w:t xml:space="preserve">Updates may be filed on the annual Renewal Application for Animal Euthanasia Specialists form or online equivalent form, or on the Request for Name or Address Change form or online equivalent form, including all required attachments.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 Animal Control Agencies", 12/2022;</w:t>
      </w:r>
    </w:p>
    <w:p>
      <w:pPr>
        <w:pStyle w:val="kar_paragraph"/>
      </w:pPr>
      <w:r>
        <w:t xml:space="preserve">(b)</w:t>
      </w:r>
      <w:r>
        <w:t xml:space="preserve"> </w:t>
      </w:r>
      <w:r>
        <w:t xml:space="preserve">"Renewal Application for Animal Euthanasia Specialists", 12/2022;</w:t>
      </w:r>
    </w:p>
    <w:p>
      <w:pPr>
        <w:pStyle w:val="kar_paragraph"/>
      </w:pPr>
      <w:r>
        <w:t xml:space="preserve">(c)</w:t>
      </w:r>
      <w:r>
        <w:t xml:space="preserve"> </w:t>
      </w:r>
      <w:r>
        <w:t xml:space="preserve">"Request for a New Designated On-site Manager", 12/2022; and</w:t>
      </w:r>
    </w:p>
    <w:p>
      <w:pPr>
        <w:pStyle w:val="kar_paragraph"/>
      </w:pPr>
      <w:r>
        <w:t xml:space="preserve">(d)</w:t>
      </w:r>
      <w:r>
        <w:t xml:space="preserve"> </w:t>
      </w:r>
      <w:r>
        <w:t xml:space="preserve">"Request for Name or Address Change", 12/2022.</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1740, 2472, 2615; eff. 6-30-2020; 49 Ky.R. 1476, 1909; eff. 7-5-2023.)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6305fb562d4793" /><Relationship Type="http://schemas.openxmlformats.org/officeDocument/2006/relationships/settings" Target="/word/settings.xml" Id="Ra5bdf5dc12d641c6" /></Relationships>
</file>