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44d5496df149b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State 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w:t>
      </w:r>
      <w:r>
        <w:rPr>
          <w:b/>
          <w:i/>
          <w:u w:val="single"/>
        </w:rPr>
        <w:t xml:space="preserve">that </w:t>
      </w:r>
      <w:r>
        <w:t xml:space="preserve">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an </w:t>
      </w:r>
      <w:r>
        <w:t xml:space="preserve">eighteen (18) month</w:t>
      </w:r>
      <w:r>
        <w:t>[</w:t>
      </w:r>
      <w:r>
        <w:rPr>
          <w:strike w:val="true"/>
        </w:rPr>
        <w:t xml:space="preserve">s</w:t>
      </w:r>
      <w:r>
        <w:t>]</w:t>
      </w:r>
      <w:r>
        <w:rPr>
          <w:u w:val="single"/>
        </w:rPr>
        <w:t xml:space="preserve">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r>
        <w:t>[</w:t>
      </w:r>
      <w:r>
        <w:rPr>
          <w:strike w:val="true"/>
        </w:rPr>
        <w:t xml:space="preserve">following the last day of the month of the administration of that examination section to obtain a passing score on the remaining sections of the examination</w:t>
      </w:r>
      <w:r>
        <w:t>]</w:t>
      </w:r>
      <w:r>
        <w:t xml:space="preserve">.</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w:t>
      </w:r>
      <w:r>
        <w:rPr>
          <w:u w:val="single"/>
        </w:rPr>
        <w:t xml:space="preserve">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w:t>
      </w:r>
      <w:r>
        <w:rPr>
          <w:u w:val="single"/>
        </w:rPr>
        <w:t xml:space="preserve">9</w:t>
      </w:r>
      <w:r>
        <w:t>[</w:t>
      </w:r>
      <w:r>
        <w:rPr>
          <w:strike w:val="true"/>
        </w:rPr>
        <w:t xml:space="preserve">10</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w:t>
      </w:r>
      <w:r>
        <w:rPr>
          <w:b/>
          <w:i/>
          <w:u w:val="single"/>
        </w:rPr>
        <w:t xml:space="preserve">pleaded</w:t>
      </w:r>
      <w:r>
        <w:t>[</w:t>
      </w:r>
      <w:r>
        <w:rPr>
          <w:b/>
          <w:i/>
          <w:strike w:val="true"/>
        </w:rPr>
        <w:t xml:space="preserve">plead</w:t>
      </w:r>
      <w:r>
        <w:t>]</w:t>
      </w:r>
      <w:r>
        <w:t xml:space="preserve">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w:t>
      </w:r>
      <w:r>
        <w:rPr>
          <w:b/>
          <w:i/>
          <w:u w:val="single"/>
        </w:rPr>
        <w:t xml:space="preserve">shall</w:t>
      </w:r>
      <w:r>
        <w:t>[</w:t>
      </w:r>
      <w:r>
        <w:rPr>
          <w:b/>
          <w:i/>
          <w:strike w:val="true"/>
        </w:rPr>
        <w:t xml:space="preserve">will</w:t>
      </w:r>
      <w:r>
        <w:t>]</w:t>
      </w:r>
      <w:r>
        <w:t xml:space="preserve">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October 2014;</w:t>
      </w:r>
    </w:p>
    <w:p>
      <w:pPr>
        <w:pStyle w:val="kar_paragraph"/>
      </w:pPr>
      <w:r>
        <w:t xml:space="preserve">(b)</w:t>
      </w:r>
      <w:r>
        <w:t xml:space="preserve"> </w:t>
      </w:r>
      <w:r>
        <w:t xml:space="preserve">"Reexam Application for the Uniform CPA Examination", 2014;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r>
        <w:rPr>
          <w:b/>
          <w:i/>
          <w:u w:val="single"/>
        </w:rPr>
        <w:t xml:space="preserve"> or at https://cpa.ky.gov/Pages/Forms.aspx.</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Joseph P. Donohue, Executive Director, Kentucky State Board of Accountancy, 332 W. Broadway, Suite 310, Louisville, Kentucky 40202, phone (502) 595-3037, fax (502) 595-4281, email joep.donohue@ky.gov.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38ba87c6634220" /><Relationship Type="http://schemas.openxmlformats.org/officeDocument/2006/relationships/settings" Target="/word/settings.xml" Id="Rdf964fb205ee496e" /></Relationships>
</file>