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b9178ea18349f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(Amended at ARRS Committee)</w:t>
      </w:r>
    </w:p>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Department of Charitable Gaming to license charitable organizations, charitable gaming facilities, manufacturers, and distributors that desire to engage in charitable gaming. KRS 238.515(2) authorizes the Department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w:t>
      </w:r>
      <w:r>
        <w:rPr>
          <w:u w:val="single"/>
        </w:rPr>
        <w:t xml:space="preserve">CG-APP-ORG</w:t>
      </w:r>
      <w:r>
        <w:t>[</w:t>
      </w:r>
      <w:r>
        <w:rPr>
          <w:strike w:val="true"/>
        </w:rPr>
        <w:t xml:space="preserve">CG-1</w:t>
      </w:r>
      <w:r>
        <w:t>]</w:t>
      </w:r>
      <w:r>
        <w:t xml:space="preserve">;</w:t>
      </w:r>
    </w:p>
    <w:p>
      <w:pPr>
        <w:pStyle w:val="kar_paragraph"/>
      </w:pPr>
      <w:r>
        <w:t xml:space="preserve">(b)</w:t>
      </w:r>
      <w:r>
        <w:t xml:space="preserve"> </w:t>
      </w:r>
      <w:r>
        <w:t xml:space="preserve">An organization authorized to hold special event raffles pursuant to KRS 238.535(14)(b) shall submit Form </w:t>
      </w:r>
      <w:r>
        <w:rPr>
          <w:u w:val="single"/>
        </w:rPr>
        <w:t xml:space="preserve">CG-APP-SER</w:t>
      </w:r>
      <w:r>
        <w:t>[</w:t>
      </w:r>
      <w:r>
        <w:rPr>
          <w:strike w:val="true"/>
        </w:rPr>
        <w:t xml:space="preserve">CG-SER</w:t>
      </w:r>
      <w:r>
        <w:t>]</w:t>
      </w:r>
      <w:r>
        <w:t xml:space="preserve">;</w:t>
      </w:r>
    </w:p>
    <w:p>
      <w:pPr>
        <w:pStyle w:val="kar_paragraph"/>
      </w:pPr>
      <w:r>
        <w:t xml:space="preserve">(c)</w:t>
      </w:r>
      <w:r>
        <w:t xml:space="preserve"> </w:t>
      </w:r>
      <w:r>
        <w:t xml:space="preserve">A distributor shall submit Form </w:t>
      </w:r>
      <w:r>
        <w:rPr>
          <w:u w:val="single"/>
        </w:rPr>
        <w:t xml:space="preserve">CG-APP-DIS</w:t>
      </w:r>
      <w:r>
        <w:t>[</w:t>
      </w:r>
      <w:r>
        <w:rPr>
          <w:strike w:val="true"/>
        </w:rPr>
        <w:t xml:space="preserve">CG-2</w:t>
      </w:r>
      <w:r>
        <w:t>]</w:t>
      </w:r>
      <w:r>
        <w:t xml:space="preserve">;</w:t>
      </w:r>
    </w:p>
    <w:p>
      <w:pPr>
        <w:pStyle w:val="kar_paragraph"/>
      </w:pPr>
      <w:r>
        <w:t xml:space="preserve">(d)</w:t>
      </w:r>
      <w:r>
        <w:t xml:space="preserve"> </w:t>
      </w:r>
      <w:r>
        <w:t xml:space="preserve">A manufacturer shall submit Form </w:t>
      </w:r>
      <w:r>
        <w:rPr>
          <w:u w:val="single"/>
        </w:rPr>
        <w:t xml:space="preserve">CG-APP-MAN</w:t>
      </w:r>
      <w:r>
        <w:t>[</w:t>
      </w:r>
      <w:r>
        <w:rPr>
          <w:strike w:val="true"/>
        </w:rPr>
        <w:t xml:space="preserve">CG-3</w:t>
      </w:r>
      <w:r>
        <w:t>]</w:t>
      </w:r>
      <w:r>
        <w:t xml:space="preserve">; </w:t>
      </w:r>
      <w:r>
        <w:t>[</w:t>
      </w:r>
      <w:r>
        <w:rPr>
          <w:strike w:val="true"/>
        </w:rPr>
        <w:t xml:space="preserve">and</w:t>
      </w:r>
      <w:r>
        <w:t>]</w:t>
      </w:r>
    </w:p>
    <w:p>
      <w:pPr>
        <w:pStyle w:val="kar_paragraph"/>
      </w:pPr>
      <w:r>
        <w:t xml:space="preserve">(e)</w:t>
      </w:r>
      <w:r>
        <w:t xml:space="preserve"> </w:t>
      </w:r>
      <w:r>
        <w:t xml:space="preserve">A charitable gaming facility shall submit Form </w:t>
      </w:r>
      <w:r>
        <w:rPr>
          <w:u w:val="single"/>
        </w:rPr>
        <w:t xml:space="preserve">CG-APP-FAC</w:t>
      </w:r>
      <w:r>
        <w:t>[</w:t>
      </w:r>
      <w:r>
        <w:rPr>
          <w:strike w:val="true"/>
        </w:rPr>
        <w:t xml:space="preserve">CG-4.</w:t>
      </w:r>
      <w:r>
        <w:t>]</w:t>
      </w:r>
      <w:r>
        <w:rPr>
          <w:u w:val="single"/>
        </w:rPr>
        <w:t xml:space="preserve">; and</w:t>
      </w:r>
    </w:p>
    <w:p>
      <w:pPr>
        <w:pStyle w:val="kar_paragraph"/>
      </w:pPr>
      <w:r>
        <w:rPr>
          <w:u w:val="single"/>
        </w:rPr>
        <w:t xml:space="preserve">(f)</w:t>
      </w:r>
      <w:r>
        <w:t xml:space="preserve"> </w:t>
      </w:r>
      <w:r>
        <w:rPr>
          <w:u w:val="single"/>
        </w:rPr>
        <w:t xml:space="preserve">A licensed charitable organization shall submit Form CG-APP-ORG-CFE in addition to Form </w:t>
      </w:r>
      <w:r>
        <w:rPr>
          <w:b/>
          <w:i/>
          <w:u w:val="single"/>
        </w:rPr>
        <w:t xml:space="preserve">CG-APP-ORG</w:t>
      </w:r>
      <w:r>
        <w:t>[</w:t>
      </w:r>
      <w:r>
        <w:rPr>
          <w:b/>
          <w:i/>
          <w:strike w:val="true"/>
          <w:u w:val="single"/>
        </w:rPr>
        <w:t xml:space="preserve">CG-ORG-APP</w:t>
      </w:r>
      <w:r>
        <w:t>]</w:t>
      </w:r>
      <w:r>
        <w:rPr>
          <w:u w:val="single"/>
        </w:rPr>
        <w:t xml:space="preserve"> for each charity fundraising event it intends to conduct.</w:t>
      </w:r>
    </w:p>
    <w:p>
      <w:pPr>
        <w:pStyle w:val="kar_subsection"/>
      </w:pPr>
      <w:r>
        <w:t xml:space="preserve">(2)</w:t>
      </w:r>
      <w:r>
        <w:t xml:space="preserve"> </w:t>
      </w:r>
      <w:r>
        <w:t xml:space="preserve">The department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department shall issue a subsequent deficiency notice. If the deficiency is incapable of being cured, the department shall deny the license.</w:t>
      </w:r>
    </w:p>
    <w:p>
      <w:pPr>
        <w:pStyle w:val="kar_subsection"/>
      </w:pPr>
      <w:r>
        <w:t xml:space="preserve">(5)</w:t>
      </w:r>
      <w:r>
        <w:t xml:space="preserve"> </w:t>
      </w:r>
      <w:r>
        <w:t xml:space="preserve">Once the department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department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rPr>
          <w:u w:val="single"/>
        </w:rPr>
        <w:t xml:space="preserve">1.</w:t>
      </w:r>
      <w:r>
        <w:t xml:space="preserve"> </w:t>
      </w:r>
      <w:r>
        <w:rPr>
          <w:u w:val="single"/>
        </w:rPr>
        <w:t xml:space="preserve">$1,000 for a facility that does not conduct bingo sessions; or</w:t>
      </w:r>
    </w:p>
    <w:p>
      <w:pPr>
        <w:pStyle w:val="kar_subparagraph"/>
      </w:pPr>
      <w:r>
        <w:rPr>
          <w:u w:val="single"/>
        </w:rPr>
        <w:t xml:space="preserve">2.</w:t>
      </w:r>
      <w:r>
        <w:t>[</w:t>
      </w:r>
      <w:r>
        <w:rPr>
          <w:strike w:val="true"/>
        </w:rPr>
        <w:t xml:space="preserve">1.</w:t>
      </w:r>
      <w:r>
        <w:t>]</w:t>
      </w:r>
      <w:r>
        <w:t xml:space="preserve"> </w:t>
      </w:r>
      <w:r>
        <w:t xml:space="preserve">$1,250 for a facility conducting </w:t>
      </w:r>
      <w:r>
        <w:rPr>
          <w:u w:val="single"/>
        </w:rPr>
        <w:t xml:space="preserve">between one (1) and</w:t>
      </w:r>
      <w:r>
        <w:t xml:space="preserve"> eight (8) </w:t>
      </w:r>
      <w:r>
        <w:rPr>
          <w:u w:val="single"/>
        </w:rPr>
        <w:t xml:space="preserve">bingo</w:t>
      </w:r>
      <w:r>
        <w:t>[</w:t>
      </w:r>
      <w:r>
        <w:rPr>
          <w:strike w:val="true"/>
        </w:rPr>
        <w:t xml:space="preserve">or fewer</w:t>
      </w:r>
      <w:r>
        <w:t>]</w:t>
      </w:r>
      <w:r>
        <w:t xml:space="preserve"> sessions per week; or</w:t>
      </w:r>
    </w:p>
    <w:p>
      <w:pPr>
        <w:pStyle w:val="kar_subparagraph"/>
      </w:pPr>
      <w:r>
        <w:rPr>
          <w:u w:val="single"/>
        </w:rPr>
        <w:t xml:space="preserve">3.</w:t>
      </w:r>
      <w:r>
        <w:t>[</w:t>
      </w:r>
      <w:r>
        <w:rPr>
          <w:strike w:val="true"/>
        </w:rPr>
        <w:t xml:space="preserve">2.</w:t>
      </w:r>
      <w:r>
        <w:t>]</w:t>
      </w:r>
      <w:r>
        <w:t xml:space="preserve"> </w:t>
      </w:r>
      <w:r>
        <w:t xml:space="preserve">$2,500 for a facility conducting between nine (9) and eighteen (18) </w:t>
      </w:r>
      <w:r>
        <w:rPr>
          <w:u w:val="single"/>
        </w:rPr>
        <w:t xml:space="preserve">bingo</w:t>
      </w:r>
      <w:r>
        <w:t xml:space="preserve">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department shall process change requests and issue or deny an amended license within ten (10) days of receipt, and the licensee shall not engage in gaming until a license reflecting the change request has been issued. </w:t>
      </w:r>
      <w:r>
        <w:rPr>
          <w:u w:val="single"/>
        </w:rPr>
        <w:t xml:space="preserve">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department at least ten (10) days prior to the date of the requested change. Any change request made pursuant to this subsection </w:t>
      </w:r>
      <w:r>
        <w:rPr>
          <w:u w:val="single"/>
        </w:rPr>
        <w:t xml:space="preserve">shall</w:t>
      </w:r>
      <w:r>
        <w:t>[</w:t>
      </w:r>
      <w:r>
        <w:rPr>
          <w:strike w:val="true"/>
        </w:rPr>
        <w:t xml:space="preserve">must</w:t>
      </w:r>
      <w:r>
        <w:t>]</w:t>
      </w:r>
      <w:r>
        <w:t xml:space="preserve">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department, in writing, at least twenty-four (24) hours prior to the scheduled start of the charitable gaming session, except </w:t>
      </w:r>
      <w:r>
        <w:rPr>
          <w:u w:val="single"/>
        </w:rPr>
        <w:t xml:space="preserve">if</w:t>
      </w:r>
      <w:r>
        <w:t>[</w:t>
      </w:r>
      <w:r>
        <w:rPr>
          <w:strike w:val="true"/>
        </w:rPr>
        <w:t xml:space="preserve">in the event of</w:t>
      </w:r>
      <w:r>
        <w:t>]</w:t>
      </w:r>
      <w:r>
        <w:t xml:space="preserve"> an emergency beyond the organization's control </w:t>
      </w:r>
      <w:r>
        <w:rPr>
          <w:u w:val="single"/>
        </w:rPr>
        <w:t xml:space="preserve">occurs</w:t>
      </w:r>
      <w:r>
        <w:t xml:space="preserve">, in which case the organization shall notify the department of the change as soon as practicable. A cancellation shall not require a change fee.</w:t>
      </w:r>
    </w:p>
    <w:p>
      <w:pPr>
        <w:pStyle w:val="kar_subsection"/>
      </w:pPr>
      <w:r>
        <w:rPr>
          <w:u w:val="single"/>
        </w:rPr>
        <w:t xml:space="preserve">(6)</w:t>
      </w:r>
      <w:r>
        <w:t xml:space="preserve"> </w:t>
      </w:r>
      <w:r>
        <w:rPr>
          <w:u w:val="single"/>
        </w:rPr>
        <w:t xml:space="preserve">A charitable organization shall not advertise any charitable gaming activity until the activity has been licensed by the department.</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department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department. Storage facilities shall be made accessible to the department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w:t>
      </w:r>
      <w:r>
        <w:rPr>
          <w:u w:val="single"/>
        </w:rPr>
        <w:t xml:space="preserve">CG-APP-EXE, Notification of Intent to Engage in Exempt Charitable Gaming</w:t>
      </w:r>
      <w:r>
        <w:t>[</w:t>
      </w:r>
      <w:r>
        <w:rPr>
          <w:strike w:val="true"/>
        </w:rPr>
        <w:t xml:space="preserve">CG-Exempt, Organization Grossing Under $25,000 Application for Exemption</w:t>
      </w:r>
      <w:r>
        <w:t>]</w:t>
      </w:r>
      <w:r>
        <w:t xml:space="preserve">, at least thirty (30) days prior to the expected date of gaming. The Form </w:t>
      </w:r>
      <w:r>
        <w:rPr>
          <w:u w:val="single"/>
        </w:rPr>
        <w:t xml:space="preserve">CG-APP-EXE</w:t>
      </w:r>
      <w:r>
        <w:t>[</w:t>
      </w:r>
      <w:r>
        <w:rPr>
          <w:strike w:val="true"/>
        </w:rPr>
        <w:t xml:space="preserve">CG-Exempt</w:t>
      </w:r>
      <w:r>
        <w:t>]</w:t>
      </w:r>
      <w:r>
        <w:t xml:space="preserv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department shall issue a Notification of Exemption within thirty (30) days of the completed submission.</w:t>
      </w:r>
    </w:p>
    <w:p>
      <w:pPr>
        <w:pStyle w:val="kar_subsection"/>
      </w:pPr>
      <w:r>
        <w:t xml:space="preserve">(3)</w:t>
      </w:r>
      <w:r>
        <w:t xml:space="preserve"> </w:t>
      </w:r>
      <w:r>
        <w:t xml:space="preserve">The department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department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department of any changes in the exempt status of the charitable organization within thirty (30) days of the occurrence of </w:t>
      </w:r>
      <w:r>
        <w:rPr>
          <w:u w:val="single"/>
        </w:rPr>
        <w:t xml:space="preserve">the</w:t>
      </w:r>
      <w:r>
        <w:t>[</w:t>
      </w:r>
      <w:r>
        <w:rPr>
          <w:strike w:val="true"/>
        </w:rPr>
        <w:t xml:space="preserve">such</w:t>
      </w:r>
      <w:r>
        <w:t>]</w:t>
      </w:r>
      <w:r>
        <w:t xml:space="preserve"> changes.</w:t>
      </w:r>
    </w:p>
    <w:p>
      <w:pPr>
        <w:pStyle w:val="kar_subsection"/>
      </w:pPr>
      <w:r>
        <w:t xml:space="preserve">(6)</w:t>
      </w:r>
      <w:r>
        <w:t xml:space="preserve"> </w:t>
      </w:r>
      <w:r>
        <w:t xml:space="preserve">A charitable organization </w:t>
      </w:r>
      <w:r>
        <w:rPr>
          <w:u w:val="single"/>
        </w:rPr>
        <w:t xml:space="preserve">that conducts charitable gaming pursuant to an exemption</w:t>
      </w:r>
      <w:r>
        <w:t>[</w:t>
      </w:r>
      <w:r>
        <w:rPr>
          <w:strike w:val="true"/>
        </w:rPr>
        <w:t xml:space="preserve">possessing a Notice of Exemption</w:t>
      </w:r>
      <w:r>
        <w:t>]</w:t>
      </w:r>
      <w:r>
        <w:t xml:space="preserve"> shall file an annual report with the department before January 31 of each year. This report shall be filed on Form </w:t>
      </w:r>
      <w:r>
        <w:rPr>
          <w:u w:val="single"/>
        </w:rPr>
        <w:t xml:space="preserve">CG-FIN-EXE</w:t>
      </w:r>
      <w:r>
        <w:t>[</w:t>
      </w:r>
      <w:r>
        <w:rPr>
          <w:strike w:val="true"/>
        </w:rPr>
        <w:t xml:space="preserve">CG-EFR</w:t>
      </w:r>
      <w:r>
        <w:t>]</w:t>
      </w:r>
      <w:r>
        <w:t xml:space="preserve">, Annual Financial Report </w:t>
      </w:r>
      <w:r>
        <w:rPr>
          <w:u w:val="single"/>
        </w:rPr>
        <w:t xml:space="preserve">for</w:t>
      </w:r>
      <w:r>
        <w:t>[</w:t>
      </w:r>
      <w:r>
        <w:rPr>
          <w:strike w:val="true"/>
        </w:rPr>
        <w:t xml:space="preserve">For</w:t>
      </w:r>
      <w:r>
        <w:t>]</w:t>
      </w:r>
      <w:r>
        <w:t xml:space="preserve">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department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department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department for inspection.</w:t>
      </w:r>
    </w:p>
    <w:p>
      <w:pPr>
        <w:pStyle w:val="kar_subsection"/>
      </w:pPr>
      <w:r>
        <w:t xml:space="preserve">(6)</w:t>
      </w:r>
      <w:r>
        <w:t xml:space="preserve"> </w:t>
      </w:r>
      <w:r>
        <w:t xml:space="preserve">Inspections shall be completed by appropriate department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w:t>
      </w:r>
      <w:r>
        <w:rPr>
          <w:u w:val="single"/>
        </w:rPr>
        <w:t xml:space="preserve">CG-APP-EXE, "Notice of Intent to Engage in Exempt Charitable Gaming (2023)"</w:t>
      </w:r>
      <w:r>
        <w:t>[</w:t>
      </w:r>
      <w:r>
        <w:rPr>
          <w:strike w:val="true"/>
        </w:rPr>
        <w:t xml:space="preserve">CG-Exempt, "Organization Grossing Under $25,000 Application for Exemption (2019)"</w:t>
      </w:r>
      <w:r>
        <w:t>]</w:t>
      </w:r>
      <w:r>
        <w:t xml:space="preserve">;</w:t>
      </w:r>
    </w:p>
    <w:p>
      <w:pPr>
        <w:pStyle w:val="kar_paragraph"/>
      </w:pPr>
      <w:r>
        <w:t xml:space="preserve">(b)</w:t>
      </w:r>
      <w:r>
        <w:t xml:space="preserve"> </w:t>
      </w:r>
      <w:r>
        <w:t xml:space="preserve">Form </w:t>
      </w:r>
      <w:r>
        <w:rPr>
          <w:u w:val="single"/>
        </w:rPr>
        <w:t xml:space="preserve">CG-FIN-EXE</w:t>
      </w:r>
      <w:r>
        <w:t>[</w:t>
      </w:r>
      <w:r>
        <w:rPr>
          <w:strike w:val="true"/>
        </w:rPr>
        <w:t xml:space="preserve">CG-EFR</w:t>
      </w:r>
      <w:r>
        <w:t>]</w:t>
      </w:r>
      <w:r>
        <w:t xml:space="preserve">, "Annual Financial Report </w:t>
      </w:r>
      <w:r>
        <w:rPr>
          <w:u w:val="single"/>
        </w:rPr>
        <w:t xml:space="preserve">for</w:t>
      </w:r>
      <w:r>
        <w:t>[</w:t>
      </w:r>
      <w:r>
        <w:rPr>
          <w:strike w:val="true"/>
        </w:rPr>
        <w:t xml:space="preserve">For</w:t>
      </w:r>
      <w:r>
        <w:t>]</w:t>
      </w:r>
      <w:r>
        <w:t xml:space="preserve"> Exempt </w:t>
      </w:r>
      <w:r>
        <w:rPr>
          <w:u w:val="single"/>
        </w:rPr>
        <w:t xml:space="preserve">Charitable</w:t>
      </w:r>
      <w:r>
        <w:t xml:space="preserve"> Organization </w:t>
      </w:r>
      <w:r>
        <w:rPr>
          <w:u w:val="single"/>
        </w:rPr>
        <w:t xml:space="preserve">(2023)</w:t>
      </w:r>
      <w:r>
        <w:t>[</w:t>
      </w:r>
      <w:r>
        <w:rPr>
          <w:strike w:val="true"/>
        </w:rPr>
        <w:t xml:space="preserve">(2019)</w:t>
      </w:r>
      <w:r>
        <w:t>]</w:t>
      </w:r>
      <w:r>
        <w:t xml:space="preserve">";</w:t>
      </w:r>
    </w:p>
    <w:p>
      <w:pPr>
        <w:pStyle w:val="kar_paragraph"/>
      </w:pPr>
      <w:r>
        <w:t xml:space="preserve">(c)</w:t>
      </w:r>
      <w:r>
        <w:t xml:space="preserve"> </w:t>
      </w:r>
      <w:r>
        <w:t xml:space="preserve">Form </w:t>
      </w:r>
      <w:r>
        <w:rPr>
          <w:u w:val="single"/>
        </w:rPr>
        <w:t xml:space="preserve">CG-APP-ORG</w:t>
      </w:r>
      <w:r>
        <w:t>[</w:t>
      </w:r>
      <w:r>
        <w:rPr>
          <w:strike w:val="true"/>
        </w:rPr>
        <w:t xml:space="preserve">CG-1</w:t>
      </w:r>
      <w:r>
        <w:t>]</w:t>
      </w:r>
      <w:r>
        <w:t xml:space="preserve">, "Charitable </w:t>
      </w:r>
      <w:r>
        <w:rPr>
          <w:u w:val="single"/>
        </w:rPr>
        <w:t xml:space="preserve">Gaming</w:t>
      </w:r>
      <w:r>
        <w:t xml:space="preserve"> Organization License Application </w:t>
      </w:r>
      <w:r>
        <w:rPr>
          <w:u w:val="single"/>
        </w:rPr>
        <w:t xml:space="preserve">(2023)</w:t>
      </w:r>
      <w:r>
        <w:t>[</w:t>
      </w:r>
      <w:r>
        <w:rPr>
          <w:strike w:val="true"/>
        </w:rPr>
        <w:t xml:space="preserve">(2019)</w:t>
      </w:r>
      <w:r>
        <w:t>]</w:t>
      </w:r>
      <w:r>
        <w:t xml:space="preserve">";</w:t>
      </w:r>
    </w:p>
    <w:p>
      <w:pPr>
        <w:pStyle w:val="kar_paragraph"/>
      </w:pPr>
      <w:r>
        <w:t xml:space="preserve">(d)</w:t>
      </w:r>
      <w:r>
        <w:t xml:space="preserve"> </w:t>
      </w:r>
      <w:r>
        <w:t xml:space="preserve">Form </w:t>
      </w:r>
      <w:r>
        <w:rPr>
          <w:u w:val="single"/>
        </w:rPr>
        <w:t xml:space="preserve">CG-APP-SER</w:t>
      </w:r>
      <w:r>
        <w:t>[</w:t>
      </w:r>
      <w:r>
        <w:rPr>
          <w:strike w:val="true"/>
        </w:rPr>
        <w:t xml:space="preserve">CG-SER</w:t>
      </w:r>
      <w:r>
        <w:t>]</w:t>
      </w:r>
      <w:r>
        <w:t xml:space="preserve">, "Special Event Raffle License Application </w:t>
      </w:r>
      <w:r>
        <w:rPr>
          <w:u w:val="single"/>
        </w:rPr>
        <w:t xml:space="preserve">(2023) </w:t>
      </w:r>
      <w:r>
        <w:t>[</w:t>
      </w:r>
      <w:r>
        <w:rPr>
          <w:strike w:val="true"/>
        </w:rPr>
        <w:t xml:space="preserve">(2019)</w:t>
      </w:r>
      <w:r>
        <w:t>]</w:t>
      </w:r>
      <w:r>
        <w:t xml:space="preserve">";</w:t>
      </w:r>
    </w:p>
    <w:p>
      <w:pPr>
        <w:pStyle w:val="kar_paragraph"/>
      </w:pPr>
      <w:r>
        <w:t xml:space="preserve">(e)</w:t>
      </w:r>
      <w:r>
        <w:t xml:space="preserve"> </w:t>
      </w:r>
      <w:r>
        <w:t xml:space="preserve">Form </w:t>
      </w:r>
      <w:r>
        <w:rPr>
          <w:u w:val="single"/>
        </w:rPr>
        <w:t xml:space="preserve">CG-APP-DIS</w:t>
      </w:r>
      <w:r>
        <w:t>[</w:t>
      </w:r>
      <w:r>
        <w:rPr>
          <w:strike w:val="true"/>
        </w:rPr>
        <w:t xml:space="preserve">CG-2</w:t>
      </w:r>
      <w:r>
        <w:t>]</w:t>
      </w:r>
      <w:r>
        <w:t xml:space="preserve">, "</w:t>
      </w:r>
      <w:r>
        <w:rPr>
          <w:u w:val="single"/>
        </w:rPr>
        <w:t xml:space="preserve">Charitable Gaming</w:t>
      </w:r>
      <w:r>
        <w:t xml:space="preserve"> Distributor License Application </w:t>
      </w:r>
      <w:r>
        <w:rPr>
          <w:u w:val="single"/>
        </w:rPr>
        <w:t xml:space="preserve">(2023)</w:t>
      </w:r>
      <w:r>
        <w:t>[</w:t>
      </w:r>
      <w:r>
        <w:rPr>
          <w:strike w:val="true"/>
        </w:rPr>
        <w:t xml:space="preserve">(2019)</w:t>
      </w:r>
      <w:r>
        <w:t>]</w:t>
      </w:r>
      <w:r>
        <w:t xml:space="preserve">";</w:t>
      </w:r>
    </w:p>
    <w:p>
      <w:pPr>
        <w:pStyle w:val="kar_paragraph"/>
      </w:pPr>
      <w:r>
        <w:t xml:space="preserve">(f)</w:t>
      </w:r>
      <w:r>
        <w:t xml:space="preserve"> </w:t>
      </w:r>
      <w:r>
        <w:t xml:space="preserve">Form </w:t>
      </w:r>
      <w:r>
        <w:rPr>
          <w:u w:val="single"/>
        </w:rPr>
        <w:t xml:space="preserve">CG-APP-MAN</w:t>
      </w:r>
      <w:r>
        <w:t>[</w:t>
      </w:r>
      <w:r>
        <w:rPr>
          <w:strike w:val="true"/>
        </w:rPr>
        <w:t xml:space="preserve">CG-3</w:t>
      </w:r>
      <w:r>
        <w:t>]</w:t>
      </w:r>
      <w:r>
        <w:t xml:space="preserve">, "</w:t>
      </w:r>
      <w:r>
        <w:rPr>
          <w:u w:val="single"/>
        </w:rPr>
        <w:t xml:space="preserve">Charitable Gaming</w:t>
      </w:r>
      <w:r>
        <w:t xml:space="preserve"> Manufacturer License Application (2023)</w:t>
      </w:r>
      <w:r>
        <w:t>[</w:t>
      </w:r>
      <w:r>
        <w:rPr>
          <w:strike w:val="true"/>
        </w:rPr>
        <w:t xml:space="preserve">(2019)</w:t>
      </w:r>
      <w:r>
        <w:t>]</w:t>
      </w:r>
      <w:r>
        <w:t xml:space="preserve">";</w:t>
      </w:r>
    </w:p>
    <w:p>
      <w:pPr>
        <w:pStyle w:val="kar_paragraph"/>
      </w:pPr>
      <w:r>
        <w:t xml:space="preserve">(g)</w:t>
      </w:r>
      <w:r>
        <w:t xml:space="preserve"> </w:t>
      </w:r>
      <w:r>
        <w:t xml:space="preserve">Form </w:t>
      </w:r>
      <w:r>
        <w:rPr>
          <w:u w:val="single"/>
        </w:rPr>
        <w:t xml:space="preserve">CG-APP-FAC</w:t>
      </w:r>
      <w:r>
        <w:t>[</w:t>
      </w:r>
      <w:r>
        <w:rPr>
          <w:strike w:val="true"/>
        </w:rPr>
        <w:t xml:space="preserve">CG-4</w:t>
      </w:r>
      <w:r>
        <w:t>]</w:t>
      </w:r>
      <w:r>
        <w:t xml:space="preserve">, "</w:t>
      </w:r>
      <w:r>
        <w:rPr>
          <w:u w:val="single"/>
        </w:rPr>
        <w:t xml:space="preserve">Charitable Gaming</w:t>
      </w:r>
      <w:r>
        <w:t xml:space="preserve"> Facility License Application </w:t>
      </w:r>
      <w:r>
        <w:rPr>
          <w:u w:val="single"/>
        </w:rPr>
        <w:t xml:space="preserve">(2023)</w:t>
      </w:r>
      <w:r>
        <w:t>[</w:t>
      </w:r>
      <w:r>
        <w:rPr>
          <w:strike w:val="true"/>
        </w:rPr>
        <w:t xml:space="preserve">(2019)</w:t>
      </w:r>
      <w:r>
        <w:t>]</w:t>
      </w:r>
      <w:r>
        <w:t xml:space="preserve">"; and</w:t>
      </w:r>
    </w:p>
    <w:p>
      <w:pPr>
        <w:pStyle w:val="kar_paragraph"/>
      </w:pPr>
      <w:r>
        <w:t xml:space="preserve">(h)</w:t>
      </w:r>
      <w:r>
        <w:t xml:space="preserve"> </w:t>
      </w:r>
      <w:r>
        <w:t xml:space="preserve">Form </w:t>
      </w:r>
      <w:r>
        <w:rPr>
          <w:u w:val="single"/>
        </w:rPr>
        <w:t xml:space="preserve">CG-OCC-ORG</w:t>
      </w:r>
      <w:r>
        <w:t>[</w:t>
      </w:r>
      <w:r>
        <w:rPr>
          <w:strike w:val="true"/>
        </w:rPr>
        <w:t xml:space="preserve">CG-OC</w:t>
      </w:r>
      <w:r>
        <w:t>]</w:t>
      </w:r>
      <w:r>
        <w:t xml:space="preserve">, "Notice </w:t>
      </w:r>
      <w:r>
        <w:rPr>
          <w:u w:val="single"/>
        </w:rPr>
        <w:t xml:space="preserve">of</w:t>
      </w:r>
      <w:r>
        <w:t>[</w:t>
      </w:r>
      <w:r>
        <w:rPr>
          <w:strike w:val="true"/>
        </w:rPr>
        <w:t xml:space="preserve">Of</w:t>
      </w:r>
      <w:r>
        <w:t>]</w:t>
      </w:r>
      <w:r>
        <w:t xml:space="preserve"> Change </w:t>
      </w:r>
      <w:r>
        <w:rPr>
          <w:u w:val="single"/>
        </w:rPr>
        <w:t xml:space="preserve">in</w:t>
      </w:r>
      <w:r>
        <w:t>[</w:t>
      </w:r>
      <w:r>
        <w:rPr>
          <w:strike w:val="true"/>
        </w:rPr>
        <w:t xml:space="preserve">In</w:t>
      </w:r>
      <w:r>
        <w:t>]</w:t>
      </w:r>
      <w:r>
        <w:t xml:space="preserve"> Officers </w:t>
      </w:r>
      <w:r>
        <w:rPr>
          <w:u w:val="single"/>
        </w:rPr>
        <w:t xml:space="preserve">or</w:t>
      </w:r>
      <w:r>
        <w:t>[</w:t>
      </w:r>
      <w:r>
        <w:rPr>
          <w:strike w:val="true"/>
        </w:rPr>
        <w:t xml:space="preserve">Or</w:t>
      </w:r>
      <w:r>
        <w:t>]</w:t>
      </w:r>
      <w:r>
        <w:t xml:space="preserve"> Chairpersons </w:t>
      </w:r>
      <w:r>
        <w:rPr>
          <w:u w:val="single"/>
        </w:rPr>
        <w:t xml:space="preserve">(2023)</w:t>
      </w:r>
      <w:r>
        <w:t>[</w:t>
      </w:r>
      <w:r>
        <w:rPr>
          <w:strike w:val="true"/>
        </w:rPr>
        <w:t xml:space="preserve">(2019)</w:t>
      </w:r>
      <w:r>
        <w:t>]</w:t>
      </w:r>
      <w:r>
        <w:t xml:space="preserv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Frankfort, Kentucky 40601, Monday through Friday, 8 a.m. to 4:30 p.m.</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Doug Hardin, Staff Attorney, Department of Charitable, 500 Mero Street 2NW24, Frankfort, Kentucky 40601, phone (502) 782-8204, fax (502) 573-6625, email doug.hardin@ky.gov.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c1eedc64040bd" /><Relationship Type="http://schemas.openxmlformats.org/officeDocument/2006/relationships/settings" Target="/word/settings.xml" Id="R986ffd738cb14a26" /></Relationships>
</file>