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731b998a124131"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164.772(3), 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t xml:space="preserve">
  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incorporated by reference in 815 KAR 7:120 and 815 KAR 7:125,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 </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the following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under the scope of the National Electrical Code, NFPA 70, incorporated by reference in 815 KAR 7:120 and 815 KAR 7:125, in a contiguous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 a:</w:t>
      </w:r>
    </w:p>
    <w:p>
      <w:pPr>
        <w:pStyle w:val="kar_paragraph"/>
      </w:pPr>
      <w:r>
        <w:t xml:space="preserve">(a)</w:t>
      </w:r>
      <w:r>
        <w:t xml:space="preserve"> </w:t>
      </w:r>
      <w:r>
        <w:t xml:space="preserve">Change in the contractor's insurance coverage, including cancellation or termination of any policy;</w:t>
      </w:r>
    </w:p>
    <w:p>
      <w:pPr>
        <w:pStyle w:val="kar_paragraph"/>
      </w:pPr>
      <w:r>
        <w:t xml:space="preserve">(b)</w:t>
      </w:r>
      <w:r>
        <w:t xml:space="preserve"> </w:t>
      </w:r>
      <w:r>
        <w:t xml:space="preserve">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license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month shall be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 DHBC L-1, Licensing Renewal Application.</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p>
    <w:p>
      <w:pPr>
        <w:pStyle w:val="kar_paragraph"/>
      </w:pPr>
      <w:r>
        <w:t xml:space="preserve">(a)</w:t>
      </w:r>
      <w:r>
        <w:t xml:space="preserve"> </w:t>
      </w:r>
      <w:r>
        <w:t xml:space="preserve">A licensee that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and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w:t>
      </w:r>
    </w:p>
    <w:p>
      <w:pPr>
        <w:pStyle w:val="kar_paragraph"/>
      </w:pPr>
      <w:r>
        <w:t xml:space="preserve">(c)</w:t>
      </w:r>
      <w:r>
        <w:t xml:space="preserve"> </w:t>
      </w:r>
      <w:r>
        <w:t xml:space="preserve">"Provisional Electrical License Application", Form EL-14, May 2020; and</w:t>
      </w:r>
    </w:p>
    <w:p>
      <w:pPr>
        <w:pStyle w:val="kar_paragraph"/>
      </w:pPr>
      <w:r>
        <w:t xml:space="preserve">(d)</w:t>
      </w:r>
      <w:r>
        <w:t xml:space="preserve"> </w:t>
      </w:r>
      <w:r>
        <w:t xml:space="preserve">"Licensing Renewal Application", Form DHBC L-1, April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3fe42574ae47a3" /><Relationship Type="http://schemas.openxmlformats.org/officeDocument/2006/relationships/settings" Target="/word/settings.xml" Id="R71c1bda5bd834508" /></Relationships>
</file>