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f71fd609c547dc"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standard length of the program of nursing. The graduation rate shall be calculated by comparing the number of students who started in each graduating cohort within the reporting period to those who graduated on time from the cohort. The graduation rate calculation may exclude students who have left the program of nursing due to documented extenuating circumstances, such as hospitalization, long-term illness, family obligations, relocation, financial barriers, or decisions to change majors or transfer to another institution;</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 at www.kbn.gov.</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5/23,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1709; eff. 6-4-1985; 14 Ky.R. 595; eff. 11-6-1987; 35 Ky.R. 2346; 36 Ky.R. 26; eff. 7-31-2009; 40 Ky.R. 2346; 41 Ky.R. 24; eff. 8-1-2014; 42 Ky.R. 2430, 2587, 2726; eff. 6-3-2016; 45 Ky.R. 1764, 2594; eff. 3-13-2019; 49 Ky.R. 1855, 2724; eff. 7-20-2022; 49 Ky.R. 1812, 2280;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41bcaaa8e4147" /><Relationship Type="http://schemas.openxmlformats.org/officeDocument/2006/relationships/settings" Target="/word/settings.xml" Id="R8adfcbc5d92849a4" /></Relationships>
</file>