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bfc970388a44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w:t>
      </w:r>
      <w:r>
        <w:rPr>
          <w:b/>
          <w:i/>
          <w:u w:val="single"/>
        </w:rPr>
        <w:t xml:space="preserve">as registered </w:t>
      </w:r>
      <w:r>
        <w:t>[</w:t>
      </w:r>
      <w:r>
        <w:rPr>
          <w:strike w:val="true"/>
        </w:rPr>
        <w:t xml:space="preserve">as registered </w:t>
      </w:r>
      <w:r>
        <w:t>]</w:t>
      </w:r>
      <w:r>
        <w:t xml:space="preserve">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w:t>
      </w:r>
      <w:r>
        <w:rPr>
          <w:b/>
          <w:i/>
          <w:u w:val="single"/>
        </w:rPr>
        <w:t xml:space="preserve">201 KAR 20:</w:t>
      </w:r>
      <w:r>
        <w:t>[</w:t>
      </w:r>
      <w:r>
        <w:rPr>
          <w:strike w:val="true"/>
        </w:rPr>
        <w:t xml:space="preserve">201 KAR 20:</w:t>
      </w:r>
      <w:r>
        <w:t>]</w:t>
      </w:r>
      <w:r>
        <w:t xml:space="preserve">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t>
      </w:r>
      <w:r>
        <w:rPr>
          <w:u w:val="single"/>
        </w:rPr>
        <w:t xml:space="preserve">within the standard length of the program of nursing.</w:t>
      </w:r>
      <w:r>
        <w:t>[</w:t>
      </w:r>
      <w:r>
        <w:rPr>
          <w:strike w:val="true"/>
        </w:rPr>
        <w:t xml:space="preserve">within the maximum time frame allowed for completion. The maximum time frame shall be determined by multiplying the standard program length for normally progressing students by one and five-tenths (1.5). Calculation of</w:t>
      </w:r>
      <w:r>
        <w:t>]</w:t>
      </w:r>
      <w:r>
        <w:t xml:space="preserve"> The graduation rate shall </w:t>
      </w:r>
      <w:r>
        <w:t>[</w:t>
      </w:r>
      <w:r>
        <w:rPr>
          <w:strike w:val="true"/>
        </w:rPr>
        <w:t xml:space="preserve">include</w:t>
      </w:r>
      <w:r>
        <w:t>]</w:t>
      </w:r>
      <w:r>
        <w:rPr>
          <w:u w:val="single"/>
        </w:rPr>
        <w:t xml:space="preserve">be calculated by comparing the number of</w:t>
      </w:r>
      <w:r>
        <w:t xml:space="preserve"> students who </w:t>
      </w:r>
      <w:r>
        <w:rPr>
          <w:u w:val="single"/>
        </w:rPr>
        <w:t xml:space="preserve">started in each graduating cohort within the reporting period to those who graduated on time from the cohort.</w:t>
      </w:r>
      <w:r>
        <w:t>[</w:t>
      </w:r>
      <w:r>
        <w:rPr>
          <w:strike w:val="true"/>
        </w:rPr>
        <w:t xml:space="preserve">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r>
        <w:t>]</w:t>
      </w:r>
      <w:r>
        <w:rPr>
          <w:u w:val="single"/>
        </w:rPr>
        <w:t xml:space="preserve"> The graduation rate calculation may exclude students who have left the program of nursing due to documented extenuating circumstances, such as hospitalization, long-term illness, family obligations, relocation, financial barriers, or decisions to change </w:t>
      </w:r>
      <w:r>
        <w:rPr>
          <w:b/>
          <w:i/>
          <w:u w:val="single"/>
        </w:rPr>
        <w:t xml:space="preserve">majors</w:t>
      </w:r>
      <w:r>
        <w:t>[</w:t>
      </w:r>
      <w:r>
        <w:rPr>
          <w:b/>
          <w:i/>
          <w:strike w:val="true"/>
          <w:u w:val="single"/>
        </w:rPr>
        <w:t xml:space="preserve">major</w:t>
      </w:r>
      <w:r>
        <w:t>]</w:t>
      </w:r>
      <w:r>
        <w:rPr>
          <w:u w:val="single"/>
        </w:rPr>
        <w:t xml:space="preserve"> or transfer to another institution</w:t>
      </w:r>
      <w:r>
        <w:t xml:space="preserve">;</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r>
        <w:rPr>
          <w:b/>
          <w:i/>
          <w:u w:val="single"/>
        </w:rPr>
        <w:t xml:space="preserve"> at www.kbn.gov</w:t>
      </w:r>
      <w:r>
        <w:t>[</w:t>
      </w:r>
      <w:r>
        <w:rPr>
          <w:strike w:val="true"/>
        </w:rPr>
        <w:t xml:space="preserve"> at www.kbn.gov</w:t>
      </w:r>
      <w:r>
        <w:t>]</w:t>
      </w:r>
      <w:r>
        <w:t xml:space="preserv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w:t>
      </w:r>
      <w:r>
        <w:rPr>
          <w:b/>
          <w:i/>
          <w:u w:val="single"/>
        </w:rPr>
        <w:t xml:space="preserve">5/23</w:t>
      </w:r>
      <w:r>
        <w:t>[</w:t>
      </w:r>
      <w:r>
        <w:rPr>
          <w:b/>
          <w:i/>
          <w:strike w:val="true"/>
          <w:u w:val="single"/>
        </w:rPr>
        <w:t xml:space="preserve">10/22</w:t>
      </w:r>
      <w:r>
        <w:t>]</w:t>
      </w:r>
      <w:r>
        <w:t>[</w:t>
      </w:r>
      <w:r>
        <w:rPr>
          <w:strike w:val="true"/>
        </w:rPr>
        <w:t xml:space="preserve">10/18</w:t>
      </w:r>
      <w:r>
        <w:t>]</w:t>
      </w:r>
      <w:r>
        <w:t xml:space="preserve">,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 or submit a comment at: https://secure.kentucky.gov/formservices/Nursing/PendReg.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0768337ce4b22" /><Relationship Type="http://schemas.openxmlformats.org/officeDocument/2006/relationships/settings" Target="/word/settings.xml" Id="R1719a013928b40d1" /></Relationships>
</file>