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59feb49f3f4f97"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NECESSITY, FUNCTION, AND CONFORMITY: </w:t>
      </w:r>
      <w:r>
        <w:t xml:space="preserve">KRS 230.215 and 230.260 authorize the commission to promulgate administrative regulations prescribing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A "horse of racing age" is defined by 810 KAR 4:010.</w:t>
      </w:r>
    </w:p>
    <w:p>
      <w:pPr>
        <w:pStyle w:val="kar_subsection"/>
      </w:pPr>
      <w:r>
        <w:t xml:space="preserve">(5)</w:t>
      </w:r>
      <w:r>
        <w:t xml:space="preserve"> </w:t>
      </w:r>
      <w:r>
        <w:t xml:space="preserve">"Kentucky bred" means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(6)</w:t>
      </w:r>
      <w:r>
        <w:t xml:space="preserve"> </w:t>
      </w:r>
      <w:r>
        <w:t xml:space="preserve">"Mare" means a broodmare, donor mare, or recipient mare.</w:t>
      </w:r>
    </w:p>
    <w:p>
      <w:pPr>
        <w:pStyle w:val="kar_subsection"/>
      </w:pPr>
      <w:r>
        <w:t xml:space="preserve">(7)</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the following:</w:t>
      </w:r>
    </w:p>
    <w:p>
      <w:pPr>
        <w:pStyle w:val="kar_subsection"/>
      </w:pPr>
      <w:r>
        <w:t xml:space="preserve">(1)</w:t>
      </w:r>
      <w:r>
        <w:t xml:space="preserve"> </w:t>
      </w:r>
      <w:r>
        <w:t xml:space="preserve">One (1) member of the commission;</w:t>
      </w:r>
    </w:p>
    <w:p>
      <w:pPr>
        <w:pStyle w:val="kar_subsection"/>
      </w:pPr>
      <w:r>
        <w:t xml:space="preserve">(2)</w:t>
      </w:r>
      <w:r>
        <w:t xml:space="preserve"> </w:t>
      </w:r>
      <w:r>
        <w:t xml:space="preserve">One (1) officer or director of a licensed racing association in Kentucky conducting Quarter Horse, Paint Horse, Appaloosa, or Arabian racing;</w:t>
      </w:r>
    </w:p>
    <w:p>
      <w:pPr>
        <w:pStyle w:val="kar_subsection"/>
      </w:pPr>
      <w:r>
        <w:t xml:space="preserve">(3)</w:t>
      </w:r>
      <w:r>
        <w:t xml:space="preserve"> </w:t>
      </w:r>
      <w:r>
        <w:t xml:space="preserve">One (1) owner of a horse nominated to the fund;</w:t>
      </w:r>
    </w:p>
    <w:p>
      <w:pPr>
        <w:pStyle w:val="kar_subsection"/>
      </w:pPr>
      <w:r>
        <w:t xml:space="preserve">(4)</w:t>
      </w:r>
      <w:r>
        <w:t xml:space="preserve"> </w:t>
      </w:r>
      <w:r>
        <w:t xml:space="preserve">One (1) owner of a mare registered with the fund; and</w:t>
      </w:r>
    </w:p>
    <w:p>
      <w:pPr>
        <w:pStyle w:val="kar_subsection"/>
      </w:pPr>
      <w:r>
        <w:t xml:space="preserve">(5)</w:t>
      </w:r>
      <w:r>
        <w:t xml:space="preserve"> </w:t>
      </w:r>
      <w:r>
        <w:t xml:space="preserve">One (1) 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provided by subsection (4) of this section. Notwithstanding other provisions of this regulation to the contrary, all registration fees for mares conceiving foals during the 2023 and 2024 breeding seasons shall be waived, and the registration deadlines for each year of conception shall be extended to December 31 of the year of conception, in order to promote field growth. 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and;</w:t>
      </w:r>
    </w:p>
    <w:p>
      <w:pPr>
        <w:pStyle w:val="kar_paragraph"/>
      </w:pPr>
      <w:r>
        <w:t xml:space="preserve">(b)</w:t>
      </w:r>
      <w:r>
        <w:t xml:space="preserve"> </w:t>
      </w:r>
      <w:r>
        <w:t xml:space="preserve">Providing the commission with a photocopy of the mare's official breed registration papers from the American Quarter Horse Association, American Paint Horse Association, Appaloosa Horse Club, the Arabian Horse Association Registry, or The Jockey Club or their respective successors, or 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set forth in subsection (5) of this section, in order for a horse to be eligible to earn money from the fund, it shall be a Kentucky bred as defined in this administrative regulation and shall be nominated to the fund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provided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conceptions or embryo transfer implantation until foaling .</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commission, pursuant to KRS 230.445.</w:t>
      </w:r>
    </w:p>
    <w:p>
      <w:pPr>
        <w:pStyle w:val="kar_subsection"/>
      </w:pPr>
      <w:r>
        <w:t xml:space="preserve">(2)</w:t>
      </w:r>
      <w:r>
        <w:t xml:space="preserve"> </w:t>
      </w:r>
      <w:r>
        <w:t xml:space="preserve">In allocating, the commission will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who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 approved proposal to the contrary, the proposed purse structure shall not exceed the total dollars generated by that breed to the association's fund account.</w:t>
      </w:r>
    </w:p>
    <w:p>
      <w:pPr>
        <w:pStyle w:val="kar_subsection"/>
      </w:pPr>
      <w:r>
        <w:t xml:space="preserve">(3)</w:t>
      </w:r>
      <w:r>
        <w:t xml:space="preserve"> </w:t>
      </w:r>
      <w:r>
        <w:t xml:space="preserve">The advisory committee shall review the proposed eligible races and purse structure and make a recommendation whether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to approve the request.</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subject to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subject to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04/2023;</w:t>
      </w:r>
    </w:p>
    <w:p>
      <w:pPr>
        <w:pStyle w:val="kar_paragraph"/>
      </w:pPr>
      <w:r>
        <w:t xml:space="preserve">(b)</w:t>
      </w:r>
      <w:r>
        <w:t xml:space="preserve"> </w:t>
      </w:r>
      <w:r>
        <w:t xml:space="preserve">"Kentucky Quarter Horse, Paint Horse, Appaloosa, and Arabian Development Fund Nomination Form", KHRC 7-060-2, 04/2023;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87b76e41942a6" /><Relationship Type="http://schemas.openxmlformats.org/officeDocument/2006/relationships/settings" Target="/word/settings.xml" Id="R748491dac50a4615" /></Relationships>
</file>