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0ef31d2e3c46a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Maintain patient records for five (5) years in a manner that shall provide adequate safeguard against improper manipulation or alteration of the records; 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 Application for Special Limited Pharmacy Permit - Clinical Practice or the Application for Special Limited Pharmacy Permit - Clinical Practice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w:t>
      </w:r>
      <w:r>
        <w:rPr>
          <w:u w:val="single"/>
        </w:rPr>
        <w:t xml:space="preserve">June 2023</w:t>
      </w:r>
      <w:r>
        <w:t>[</w:t>
      </w:r>
      <w:r>
        <w:rPr>
          <w:strike w:val="true"/>
        </w:rPr>
        <w:t xml:space="preserve">May 2019</w:t>
      </w:r>
      <w:r>
        <w:t>]</w:t>
      </w:r>
      <w:r>
        <w:t xml:space="preserve">;</w:t>
      </w:r>
      <w:r>
        <w:t>[</w:t>
      </w:r>
      <w:r>
        <w:rPr>
          <w:strike w:val="true"/>
        </w:rPr>
        <w:t xml:space="preserve"> and</w:t>
      </w:r>
      <w:r>
        <w:t>]</w:t>
      </w:r>
    </w:p>
    <w:p>
      <w:pPr>
        <w:pStyle w:val="kar_paragraph"/>
      </w:pPr>
      <w:r>
        <w:t xml:space="preserve">(b)</w:t>
      </w:r>
      <w:r>
        <w:t xml:space="preserve"> </w:t>
      </w:r>
      <w:r>
        <w:t xml:space="preserve">"Application for Special Limited Pharmacy Permit - Clinical Practice Renewal", </w:t>
      </w:r>
      <w:r>
        <w:rPr>
          <w:u w:val="single"/>
        </w:rPr>
        <w:t xml:space="preserve">June 2023;</w:t>
      </w:r>
      <w:r>
        <w:t>[</w:t>
      </w:r>
      <w:r>
        <w:rPr>
          <w:strike w:val="true"/>
        </w:rPr>
        <w:t xml:space="preserve">May 2019.</w:t>
      </w:r>
      <w:r>
        <w:t>]</w:t>
      </w:r>
    </w:p>
    <w:p>
      <w:pPr>
        <w:pStyle w:val="kar_paragraph"/>
      </w:pPr>
      <w:r>
        <w:rPr>
          <w:u w:val="single"/>
        </w:rPr>
        <w:t xml:space="preserve">(c)</w:t>
      </w:r>
      <w:r>
        <w:t xml:space="preserve"> </w:t>
      </w:r>
      <w:r>
        <w:rPr>
          <w:u w:val="single"/>
        </w:rPr>
        <w:t xml:space="preserve">"Nonresident Application for Special Limited Pharmacy Permit – Clinical Practice", June 2023; and</w:t>
      </w:r>
    </w:p>
    <w:p>
      <w:pPr>
        <w:pStyle w:val="kar_paragraph"/>
      </w:pPr>
      <w:r>
        <w:rPr>
          <w:u w:val="single"/>
        </w:rPr>
        <w:t xml:space="preserve">(d)</w:t>
      </w:r>
      <w:r>
        <w:t xml:space="preserve"> </w:t>
      </w:r>
      <w:r>
        <w:rPr>
          <w:u w:val="single"/>
        </w:rPr>
        <w:t xml:space="preserve">"Nonresident Application for Special Limited Pharmacy Permit – Clinical Practice Renewal", June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w:t>
      </w:r>
      <w:r>
        <w:rPr>
          <w:u w:val="single"/>
        </w:rPr>
        <w:t xml:space="preserve"> This material is also available on the board's Web site at https://pharmacy.ky.gov/Businesses/Pages/Pharmacy.aspx.</w:t>
      </w:r>
    </w:p>
    <w:p>
      <w:pPr>
        <w:pStyle w:val="kar_signature"/>
      </w:pPr>
      <w:r>
        <w:t xml:space="preserve">CHRISTOPHER HARLOW, Pharm.D.,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rules for pharmacies that do not possess prescription drugs and that only offer clinical services.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to control the transfer of prescription drug orders between pharmacists and pharmacies. This administrative regulation establishes consistent with the requirements of KRS 315.191(1)(a) minimum requirements for the permitting of those entities that only perform clinical functions.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consistent with the requirements of KRS 315.191(1)(a) minimum requirements for the permitting of those entities that only perform clinical functions.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for a separate regulatory regime for entities that don’t possess prescription drugs and that only offer clinical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only amendment is to the forms.</w:t>
      </w:r>
    </w:p>
    <w:p>
      <w:pPr>
        <w:pStyle w:val="kar_normal"/>
        <w:ind w:left="576"/>
      </w:pPr>
      <w:r>
        <w:t xml:space="preserve">(b) The necessity of the amendment to this administrative regulation:</w:t>
      </w:r>
    </w:p>
    <w:p>
      <w:pPr>
        <w:pStyle w:val="kar_normal"/>
        <w:ind w:left="720"/>
      </w:pPr>
      <w:r>
        <w:t xml:space="preserve">The criteria needed to be updated.</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 KRS 315.191(1)(a) directs the Board of Pharmacy to promulgate administrative regulations regarding reference material and equipment suitable for pharmaceutical practice.</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The form has been updated with the fee increase of twenty-five (25) dollars and this amendment reflects that in the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establishes consistent with the requirements of KRS 315.191(1)(a) minimum requirements for the permitting of those entities that perform clinical pharmacy functions only.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amendment. The fee increase is contained in 201 KAR 2:050.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pharmacies that desire to offer only clinical services.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 The cost of the permitting of this program is contained in 201 KAR 2:050.</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cost of managing the permit issuance is $150 per permit. This fee increase is contained in 201 KAR 2:050.</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e12749cb514fb6" /><Relationship Type="http://schemas.openxmlformats.org/officeDocument/2006/relationships/settings" Target="/word/settings.xml" Id="R9a81dfd03bf0427c" /></Relationships>
</file>