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f4b68aaeb0469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(New Administrative Regulation)</w:t>
      </w:r>
    </w:p>
    <w:p>
      <w:pPr>
        <w:pStyle w:val="kar_citation"/>
      </w:pPr>
      <w:r>
        <w:t>902 KAR 100:195.</w:t>
      </w:r>
      <w:r>
        <w:t xml:space="preserve"> </w:t>
      </w:r>
      <w:r>
        <w:t xml:space="preserve">Licensing of special nuclear material.</w:t>
      </w:r>
    </w:p>
    <w:p>
      <w:pPr>
        <w:pStyle w:val="kar_markup_metadata"/>
      </w:pPr>
      <w:r>
        <w:t xml:space="preserve">RELATES TO: </w:t>
      </w:r>
      <w:r>
        <w:t xml:space="preserve">KRS 194A.005(1), 211.180(1), 211.842-211.852, 211.990(4), 10 C.F.R. Part 70,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70.</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70.1(c), (d), and (e);</w:t>
      </w:r>
    </w:p>
    <w:p>
      <w:pPr>
        <w:pStyle w:val="kar_paragraph"/>
      </w:pPr>
      <w:r>
        <w:t xml:space="preserve">(b)</w:t>
      </w:r>
      <w:r>
        <w:t xml:space="preserve"> </w:t>
      </w:r>
      <w:r>
        <w:t xml:space="preserve">10 C.F.R. 70.4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(c)</w:t>
      </w:r>
      <w:r>
        <w:t xml:space="preserve"> </w:t>
      </w:r>
      <w:r>
        <w:t xml:space="preserve">10 C.F.R. 70.5;</w:t>
      </w:r>
    </w:p>
    <w:p>
      <w:pPr>
        <w:pStyle w:val="kar_paragraph"/>
      </w:pPr>
      <w:r>
        <w:t xml:space="preserve">(d)</w:t>
      </w:r>
      <w:r>
        <w:t xml:space="preserve"> </w:t>
      </w:r>
      <w:r>
        <w:t xml:space="preserve">10 C.F.R.70.8;</w:t>
      </w:r>
    </w:p>
    <w:p>
      <w:pPr>
        <w:pStyle w:val="kar_paragraph"/>
      </w:pPr>
      <w:r>
        <w:t xml:space="preserve">(e)</w:t>
      </w:r>
      <w:r>
        <w:t xml:space="preserve"> </w:t>
      </w:r>
      <w:r>
        <w:t xml:space="preserve">10 C.F.R. 70.10(b);</w:t>
      </w:r>
    </w:p>
    <w:p>
      <w:pPr>
        <w:pStyle w:val="kar_paragraph"/>
      </w:pPr>
      <w:r>
        <w:t xml:space="preserve">(f)</w:t>
      </w:r>
      <w:r>
        <w:t xml:space="preserve"> </w:t>
      </w:r>
      <w:r>
        <w:t xml:space="preserve">10 C.F.R. 70.13;</w:t>
      </w:r>
    </w:p>
    <w:p>
      <w:pPr>
        <w:pStyle w:val="kar_paragraph"/>
      </w:pPr>
      <w:r>
        <w:t xml:space="preserve">(g)</w:t>
      </w:r>
      <w:r>
        <w:t xml:space="preserve"> </w:t>
      </w:r>
      <w:r>
        <w:t xml:space="preserve">10 C.F.R. 70.14;</w:t>
      </w:r>
    </w:p>
    <w:p>
      <w:pPr>
        <w:pStyle w:val="kar_paragraph"/>
      </w:pPr>
      <w:r>
        <w:t xml:space="preserve">(h)</w:t>
      </w:r>
      <w:r>
        <w:t xml:space="preserve"> </w:t>
      </w:r>
      <w:r>
        <w:t xml:space="preserve">10 C.F.R. 70.20a;</w:t>
      </w:r>
    </w:p>
    <w:p>
      <w:pPr>
        <w:pStyle w:val="kar_paragraph"/>
      </w:pPr>
      <w:r>
        <w:t xml:space="preserve">(i)</w:t>
      </w:r>
      <w:r>
        <w:t xml:space="preserve"> </w:t>
      </w:r>
      <w:r>
        <w:t xml:space="preserve">10 C.F.R. 70.20b;</w:t>
      </w:r>
    </w:p>
    <w:p>
      <w:pPr>
        <w:pStyle w:val="kar_paragraph"/>
      </w:pPr>
      <w:r>
        <w:t xml:space="preserve">(j)</w:t>
      </w:r>
      <w:r>
        <w:t xml:space="preserve"> </w:t>
      </w:r>
      <w:r>
        <w:t xml:space="preserve">10 C.F.R. 70.21(a)(1), (c), (f), (g), and (h);</w:t>
      </w:r>
    </w:p>
    <w:p>
      <w:pPr>
        <w:pStyle w:val="kar_paragraph"/>
      </w:pPr>
      <w:r>
        <w:t xml:space="preserve">(k)</w:t>
      </w:r>
      <w:r>
        <w:t xml:space="preserve"> </w:t>
      </w:r>
      <w:r>
        <w:t xml:space="preserve">10 C.F.R. 70.22(b), (c), (f), (g), (h), (i), (j), (k), (l), (m), and (n);</w:t>
      </w:r>
    </w:p>
    <w:p>
      <w:pPr>
        <w:pStyle w:val="kar_paragraph"/>
      </w:pPr>
      <w:r>
        <w:t xml:space="preserve">(l)</w:t>
      </w:r>
      <w:r>
        <w:t xml:space="preserve"> </w:t>
      </w:r>
      <w:r>
        <w:t xml:space="preserve">10 C.F.R. 70.23(a)(6), (a)(7), (a)(8), (a)(9), (a)(10), (a)(11), (a)(12), and (b);</w:t>
      </w:r>
    </w:p>
    <w:p>
      <w:pPr>
        <w:pStyle w:val="kar_paragraph"/>
      </w:pPr>
      <w:r>
        <w:t xml:space="preserve">(m)</w:t>
      </w:r>
      <w:r>
        <w:t xml:space="preserve"> </w:t>
      </w:r>
      <w:r>
        <w:t xml:space="preserve">10 C.F.R. 70.23a;</w:t>
      </w:r>
    </w:p>
    <w:p>
      <w:pPr>
        <w:pStyle w:val="kar_paragraph"/>
      </w:pPr>
      <w:r>
        <w:t xml:space="preserve">(n)</w:t>
      </w:r>
      <w:r>
        <w:t xml:space="preserve"> </w:t>
      </w:r>
      <w:r>
        <w:t xml:space="preserve">10 C.F.R. 70.24;</w:t>
      </w:r>
    </w:p>
    <w:p>
      <w:pPr>
        <w:pStyle w:val="kar_paragraph"/>
      </w:pPr>
      <w:r>
        <w:t xml:space="preserve">(o)</w:t>
      </w:r>
      <w:r>
        <w:t xml:space="preserve"> </w:t>
      </w:r>
      <w:r>
        <w:t xml:space="preserve">10 C.F.R. 70.25(a)(1);</w:t>
      </w:r>
    </w:p>
    <w:p>
      <w:pPr>
        <w:pStyle w:val="kar_paragraph"/>
      </w:pPr>
      <w:r>
        <w:t xml:space="preserve">(p)</w:t>
      </w:r>
      <w:r>
        <w:t xml:space="preserve"> </w:t>
      </w:r>
      <w:r>
        <w:t xml:space="preserve">10 C.F.R. 70.31(c), (d), and (e);</w:t>
      </w:r>
    </w:p>
    <w:p>
      <w:pPr>
        <w:pStyle w:val="kar_paragraph"/>
      </w:pPr>
      <w:r>
        <w:t xml:space="preserve">(q)</w:t>
      </w:r>
      <w:r>
        <w:t xml:space="preserve"> </w:t>
      </w:r>
      <w:r>
        <w:t xml:space="preserve">10 C.F.R. 70.32(a)(1), (a)(4), (a)(5), (a)(6), (a)(7), (b)(1), (b)(3), (b)(4), (c), (d), (e), (f), (g), (h), (i), (j), and (k);</w:t>
      </w:r>
    </w:p>
    <w:p>
      <w:pPr>
        <w:pStyle w:val="kar_paragraph"/>
      </w:pPr>
      <w:r>
        <w:t xml:space="preserve">(r)</w:t>
      </w:r>
      <w:r>
        <w:t xml:space="preserve"> </w:t>
      </w:r>
      <w:r>
        <w:t xml:space="preserve">10 C.F.R. 70.37;</w:t>
      </w:r>
    </w:p>
    <w:p>
      <w:pPr>
        <w:pStyle w:val="kar_paragraph"/>
      </w:pPr>
      <w:r>
        <w:t xml:space="preserve">(s)</w:t>
      </w:r>
      <w:r>
        <w:t xml:space="preserve"> </w:t>
      </w:r>
      <w:r>
        <w:t xml:space="preserve">10 C.F.R. 70.40;</w:t>
      </w:r>
    </w:p>
    <w:p>
      <w:pPr>
        <w:pStyle w:val="kar_paragraph"/>
      </w:pPr>
      <w:r>
        <w:t xml:space="preserve">(t)</w:t>
      </w:r>
      <w:r>
        <w:t xml:space="preserve"> </w:t>
      </w:r>
      <w:r>
        <w:t xml:space="preserve">10 C.F.R. 70.42(b)(6);</w:t>
      </w:r>
    </w:p>
    <w:p>
      <w:pPr>
        <w:pStyle w:val="kar_paragraph"/>
      </w:pPr>
      <w:r>
        <w:t xml:space="preserve">(u)</w:t>
      </w:r>
      <w:r>
        <w:t xml:space="preserve"> </w:t>
      </w:r>
      <w:r>
        <w:t xml:space="preserve">10 C.F.R. 70.44;</w:t>
      </w:r>
    </w:p>
    <w:p>
      <w:pPr>
        <w:pStyle w:val="kar_paragraph"/>
      </w:pPr>
      <w:r>
        <w:t xml:space="preserve">(v)</w:t>
      </w:r>
      <w:r>
        <w:t xml:space="preserve"> </w:t>
      </w:r>
      <w:r>
        <w:t xml:space="preserve">10 C.F.R. 70.52;</w:t>
      </w:r>
    </w:p>
    <w:p>
      <w:pPr>
        <w:pStyle w:val="kar_paragraph"/>
      </w:pPr>
      <w:r>
        <w:t xml:space="preserve">(w)</w:t>
      </w:r>
      <w:r>
        <w:t xml:space="preserve"> </w:t>
      </w:r>
      <w:r>
        <w:t xml:space="preserve">10 C.F.R. 70.55(c);</w:t>
      </w:r>
    </w:p>
    <w:p>
      <w:pPr>
        <w:pStyle w:val="kar_paragraph"/>
      </w:pPr>
      <w:r>
        <w:t xml:space="preserve">(x)</w:t>
      </w:r>
      <w:r>
        <w:t xml:space="preserve"> </w:t>
      </w:r>
      <w:r>
        <w:t xml:space="preserve">10 C.F.R. 70.59;</w:t>
      </w:r>
    </w:p>
    <w:p>
      <w:pPr>
        <w:pStyle w:val="kar_paragraph"/>
      </w:pPr>
      <w:r>
        <w:t xml:space="preserve">(y)</w:t>
      </w:r>
      <w:r>
        <w:t xml:space="preserve"> </w:t>
      </w:r>
      <w:r>
        <w:t xml:space="preserve">10 C.F.R. 70.60;</w:t>
      </w:r>
    </w:p>
    <w:p>
      <w:pPr>
        <w:pStyle w:val="kar_paragraph"/>
      </w:pPr>
      <w:r>
        <w:t xml:space="preserve">(z)</w:t>
      </w:r>
      <w:r>
        <w:t xml:space="preserve"> </w:t>
      </w:r>
      <w:r>
        <w:t xml:space="preserve">10 C.F.R. 70.61;</w:t>
      </w:r>
    </w:p>
    <w:p>
      <w:pPr>
        <w:pStyle w:val="kar_paragraph"/>
      </w:pPr>
      <w:r>
        <w:t xml:space="preserve">(aa)</w:t>
      </w:r>
      <w:r>
        <w:t xml:space="preserve"> </w:t>
      </w:r>
      <w:r>
        <w:t xml:space="preserve">10 C.F.R. 70.62;</w:t>
      </w:r>
    </w:p>
    <w:p>
      <w:pPr>
        <w:pStyle w:val="kar_paragraph"/>
      </w:pPr>
      <w:r>
        <w:t xml:space="preserve">(bb)</w:t>
      </w:r>
      <w:r>
        <w:t xml:space="preserve"> </w:t>
      </w:r>
      <w:r>
        <w:t xml:space="preserve">10 C.F.R. 70.64;</w:t>
      </w:r>
    </w:p>
    <w:p>
      <w:pPr>
        <w:pStyle w:val="kar_paragraph"/>
      </w:pPr>
      <w:r>
        <w:t xml:space="preserve">(cc)</w:t>
      </w:r>
      <w:r>
        <w:t xml:space="preserve"> </w:t>
      </w:r>
      <w:r>
        <w:t xml:space="preserve">10 C.F.R. 70.65;</w:t>
      </w:r>
    </w:p>
    <w:p>
      <w:pPr>
        <w:pStyle w:val="kar_paragraph"/>
      </w:pPr>
      <w:r>
        <w:t xml:space="preserve">(dd)</w:t>
      </w:r>
      <w:r>
        <w:t xml:space="preserve"> </w:t>
      </w:r>
      <w:r>
        <w:t xml:space="preserve">10 C.F.R. 70.66;</w:t>
      </w:r>
    </w:p>
    <w:p>
      <w:pPr>
        <w:pStyle w:val="kar_paragraph"/>
      </w:pPr>
      <w:r>
        <w:t xml:space="preserve">(ee)</w:t>
      </w:r>
      <w:r>
        <w:t xml:space="preserve"> </w:t>
      </w:r>
      <w:r>
        <w:t xml:space="preserve">10 C.F.R. 70.72;</w:t>
      </w:r>
    </w:p>
    <w:p>
      <w:pPr>
        <w:pStyle w:val="kar_paragraph"/>
      </w:pPr>
      <w:r>
        <w:t xml:space="preserve">(ff)</w:t>
      </w:r>
      <w:r>
        <w:t xml:space="preserve"> </w:t>
      </w:r>
      <w:r>
        <w:t xml:space="preserve">10 C.F.R. 70.73;</w:t>
      </w:r>
    </w:p>
    <w:p>
      <w:pPr>
        <w:pStyle w:val="kar_paragraph"/>
      </w:pPr>
      <w:r>
        <w:t xml:space="preserve">(gg)</w:t>
      </w:r>
      <w:r>
        <w:t xml:space="preserve"> </w:t>
      </w:r>
      <w:r>
        <w:t xml:space="preserve">10 C.F.R. 70.74;</w:t>
      </w:r>
    </w:p>
    <w:p>
      <w:pPr>
        <w:pStyle w:val="kar_paragraph"/>
      </w:pPr>
      <w:r>
        <w:t xml:space="preserve">(hh)</w:t>
      </w:r>
      <w:r>
        <w:t xml:space="preserve"> </w:t>
      </w:r>
      <w:r>
        <w:t xml:space="preserve">10 C.F.R. 70.76</w:t>
      </w:r>
    </w:p>
    <w:p>
      <w:pPr>
        <w:pStyle w:val="kar_paragraph"/>
      </w:pPr>
      <w:r>
        <w:t xml:space="preserve">(ii)</w:t>
      </w:r>
      <w:r>
        <w:t xml:space="preserve"> </w:t>
      </w:r>
      <w:r>
        <w:t xml:space="preserve">10 C.F.R. 70.82; and</w:t>
      </w:r>
    </w:p>
    <w:p>
      <w:pPr>
        <w:pStyle w:val="kar_paragraph"/>
      </w:pPr>
      <w:r>
        <w:t xml:space="preserve">(jj)</w:t>
      </w:r>
      <w:r>
        <w:t xml:space="preserve"> </w:t>
      </w:r>
      <w:r>
        <w:t xml:space="preserve">10 C.F.R. Appendix A to Part 70.</w:t>
      </w:r>
    </w:p>
    <w:p>
      <w:pPr>
        <w:pStyle w:val="kar_subsection"/>
      </w:pPr>
      <w:r>
        <w:t xml:space="preserve">(2)</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Each application for a specific license shall be filed pursuant to 902 KAR 100:0195.</w:t>
      </w:r>
    </w:p>
    <w:p>
      <w:pPr>
        <w:pStyle w:val="kar_subsection"/>
      </w:pPr>
      <w:r>
        <w:t xml:space="preserve">(4)</w:t>
      </w:r>
      <w:r>
        <w:t xml:space="preserve"> </w:t>
      </w:r>
      <w:r>
        <w:t xml:space="preserve">Notifications, reports, and correspondence required by 10 C.F.R. 70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May 26, 2023</w:t>
      </w:r>
    </w:p>
    <w:p>
      <w:pPr>
        <w:pStyle w:val="kar_filed"/>
      </w:pPr>
      <w:r>
        <w:t xml:space="preserve">FILED WITH LRC: June 7, 2023 at 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procedures and criteria for the issuance of licenses to receive title to, own, acquire, deliver, receive, possess, use, and transfer special nuclear material, and establishes and provides for the terms and conditions upon which the cabinet will issue such licenses.</w:t>
      </w:r>
    </w:p>
    <w:p>
      <w:pPr>
        <w:pStyle w:val="kar_normal"/>
        <w:ind w:left="576"/>
      </w:pPr>
      <w:r>
        <w:t xml:space="preserve">(b) The necessity of this administrative regulation:</w:t>
      </w:r>
    </w:p>
    <w:p>
      <w:pPr>
        <w:pStyle w:val="kar_normal"/>
        <w:ind w:left="720"/>
      </w:pPr>
      <w:r>
        <w:t xml:space="preserve">This new administrative regulation is necessary to protect the public from improper use and disposal of special nuclear material.</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ensures all those engaged in the licensing, use, transfer, and disposal of special nuclear material meet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two (2) licensees for the use of special nuclear material issued by the Radiation Health Branch (RHB)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new actions required for compliance with this new administrative regulation. The RHB will need to modify the existing special nuclear material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change in cost for the regulated entities.</w:t>
      </w:r>
    </w:p>
    <w:p>
      <w:pPr>
        <w:pStyle w:val="kar_normal"/>
        <w:ind w:left="576"/>
      </w:pPr>
      <w:r>
        <w:t xml:space="preserve">(c) As a result of compliance, what benefits will accrue to the entities identified in question (3):</w:t>
      </w:r>
    </w:p>
    <w:p>
      <w:pPr>
        <w:pStyle w:val="kar_normal"/>
        <w:ind w:left="720"/>
      </w:pPr>
      <w:r>
        <w:t xml:space="preserve">By adopting 10 C.F.R. Part 70, the state will put special nuclear material licensing and use in a single regulation instead of multiple regulations. This will reduce the amount of time needed to research applicable regulations and provide consistency with the methods used by the Nuclear Regulatory Commission (NRC). It will be easier for the licensee to review existing guidance documents for daily use of special nuclear material.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program is already operating. There is a minimal cost to implement this administrative regulation.</w:t>
      </w:r>
    </w:p>
    <w:p>
      <w:pPr>
        <w:pStyle w:val="kar_normal"/>
        <w:ind w:left="576"/>
      </w:pPr>
      <w:r>
        <w:t xml:space="preserve">(b) On a continuing basis:</w:t>
      </w:r>
    </w:p>
    <w:p>
      <w:pPr>
        <w:pStyle w:val="kar_normal"/>
        <w:ind w:left="720"/>
      </w:pPr>
      <w:r>
        <w:t xml:space="preserve">This program is already operating. Adopting the new regulation will reduce cost in the long term.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new administrative regulation does not affect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associated with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new administrative regulation.</w:t>
      </w:r>
    </w:p>
    <w:p>
      <w:pPr>
        <w:pStyle w:val="kar_normal"/>
        <w:ind w:left="288"/>
      </w:pPr>
      <w:r>
        <w:t xml:space="preserve">(9) TIERING: Is tiering applied?</w:t>
      </w:r>
    </w:p>
    <w:p>
      <w:pPr>
        <w:pStyle w:val="kar_normal"/>
        <w:ind w:left="432"/>
      </w:pPr>
      <w:r>
        <w:t xml:space="preserve">Tiering is not applied as all entities using radioactive source material must meet NRC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in the Department for Public Health will be impacted by this new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new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new administrative regulation does not add costs to the agency.</w:t>
      </w:r>
    </w:p>
    <w:p>
      <w:pPr>
        <w:pStyle w:val="kar_normal"/>
        <w:ind w:left="576"/>
      </w:pPr>
      <w:r>
        <w:t xml:space="preserve">(d) How much will it cost to administer this program for subsequent years?</w:t>
      </w:r>
    </w:p>
    <w:p>
      <w:pPr>
        <w:pStyle w:val="kar_normal"/>
        <w:ind w:left="720"/>
      </w:pPr>
      <w:r>
        <w:t xml:space="preserve">This new administrative regulation does not add costs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new administrative regulation does not impact the costs of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new administrative regulation does not impact the costs of the regulated entities.</w:t>
      </w:r>
    </w:p>
    <w:p>
      <w:pPr>
        <w:pStyle w:val="kar_normal"/>
        <w:ind w:left="576"/>
      </w:pPr>
      <w:r>
        <w:t xml:space="preserve">(c) How much will it cost the regulated entities for the first year?</w:t>
      </w:r>
    </w:p>
    <w:p>
      <w:pPr>
        <w:pStyle w:val="kar_normal"/>
        <w:ind w:left="720"/>
      </w:pPr>
      <w:r>
        <w:t xml:space="preserve">This new administrative regulation will not result in cost to the regulated entities.</w:t>
      </w:r>
    </w:p>
    <w:p>
      <w:pPr>
        <w:pStyle w:val="kar_normal"/>
        <w:ind w:left="576"/>
      </w:pPr>
      <w:r>
        <w:t xml:space="preserve">(d) How much will it cost the regulated entities for subsequent years?</w:t>
      </w:r>
    </w:p>
    <w:p>
      <w:pPr>
        <w:pStyle w:val="kar_normal"/>
        <w:ind w:left="720"/>
      </w:pPr>
      <w:r>
        <w:t xml:space="preserve">This new administrative regulation will not result in cost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70.</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standards,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e3d5275da4ea6" /><Relationship Type="http://schemas.openxmlformats.org/officeDocument/2006/relationships/settings" Target="/word/settings.xml" Id="R88658c719eaf40e7" /></Relationships>
</file>