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bbac5be8054281"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1:020.</w:t>
      </w:r>
      <w:r>
        <w:t xml:space="preserve"> </w:t>
      </w:r>
      <w:r>
        <w:t xml:space="preserve">Statement of spending intent and appointment of campaign treasurer.</w:t>
      </w:r>
    </w:p>
    <w:p>
      <w:pPr>
        <w:pStyle w:val="kar_markup_metadata"/>
      </w:pPr>
      <w:r>
        <w:t xml:space="preserve">RELATES TO: </w:t>
      </w:r>
      <w:r>
        <w:t xml:space="preserve">KRS 121.160(1), 121.180(1)</w:t>
      </w:r>
    </w:p>
    <w:p>
      <w:pPr>
        <w:pStyle w:val="kar_markup_metadata"/>
      </w:pPr>
      <w:r>
        <w:t xml:space="preserve">STATUTORY AUTHORITY: </w:t>
      </w:r>
      <w:r>
        <w:t xml:space="preserve">KRS 121.120(1)(g), (4)</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121.120(4) requires the Registry to promulgate administrative regulations and prescribe forms for the making of reports under KRS Chapter 121. </w:t>
      </w:r>
      <w:r>
        <w:rPr>
          <w:u w:val="single"/>
        </w:rPr>
        <w:t xml:space="preserve">KRS 121.015(18) defines "form" to mean an "an online Web page of an electronic document designed to capture, validate, and submit data for processing to the registry."</w:t>
      </w:r>
      <w:r>
        <w:t xml:space="preserve"> KRS 121.160(1) requires candidates </w:t>
      </w:r>
      <w:r>
        <w:t>[</w:t>
      </w:r>
      <w:r>
        <w:rPr>
          <w:strike w:val="true"/>
        </w:rPr>
        <w:t xml:space="preserve">as part of their filing papers</w:t>
      </w:r>
      <w:r>
        <w:t>]</w:t>
      </w:r>
      <w:r>
        <w:t xml:space="preserve"> to designate a campaign treasurer. KRS 121.180(1) permits certain candidates to </w:t>
      </w:r>
      <w:r>
        <w:rPr>
          <w:u w:val="single"/>
        </w:rPr>
        <w:t xml:space="preserve">use an electronic form to</w:t>
      </w:r>
      <w:r>
        <w:t xml:space="preserve"> request an exemption from reporting to the Registry when they file for office. This administrative regulation establishes </w:t>
      </w:r>
      <w:r>
        <w:rPr>
          <w:u w:val="single"/>
        </w:rPr>
        <w:t xml:space="preserve">the Web page from which candidates designate their treasurers and state their spending intents.</w:t>
      </w:r>
      <w:r>
        <w:t>[</w:t>
      </w:r>
      <w:r>
        <w:rPr>
          <w:strike w:val="true"/>
        </w:rPr>
        <w:t xml:space="preserve">a single form for the appointment of a campaign treasurer and the optional request for exemption from reporting.</w:t>
      </w:r>
      <w:r>
        <w:t>]</w:t>
      </w:r>
    </w:p>
    <w:p>
      <w:pPr>
        <w:pStyle w:val="kar_section"/>
      </w:pPr>
      <w:r>
        <w:t xml:space="preserve">Section 1.</w:t>
      </w:r>
      <w:r>
        <w:t xml:space="preserve"> </w:t>
      </w:r>
      <w:r>
        <w:t xml:space="preserve">Appointment of Campaign Treasurer. </w:t>
      </w:r>
      <w:r>
        <w:rPr>
          <w:u w:val="single"/>
        </w:rPr>
        <w:t xml:space="preserve">Candidates shall designate campaign treasurers, as required by KRS 121.160(1), or state whether they will act as their own campaign treasurers prior to beginning to campaign for each primary, regular, or special election by using the Kentucky Election Finance Management System found on the Registry's Web site at https://kref.ky.gov.</w:t>
      </w:r>
      <w:r>
        <w:t>[</w:t>
      </w:r>
      <w:r>
        <w:rPr>
          <w:strike w:val="true"/>
        </w:rPr>
        <w:t xml:space="preserve">The Statement of Spending Intent and Appointment of Campaign Treasurer Form shall be the official form to be used by candidates for the appointment of a campaign treasurer under KRS 121.160(1).</w:t>
      </w:r>
      <w:r>
        <w:t>]</w:t>
      </w:r>
    </w:p>
    <w:p>
      <w:pPr>
        <w:pStyle w:val="kar_section"/>
      </w:pPr>
      <w:r>
        <w:t xml:space="preserve">Section 2.</w:t>
      </w:r>
      <w:r>
        <w:t xml:space="preserve"> </w:t>
      </w:r>
      <w:r>
        <w:t xml:space="preserve">Optional Request for Reporting Exemption. </w:t>
      </w:r>
      <w:r>
        <w:rPr>
          <w:u w:val="single"/>
        </w:rPr>
        <w:t xml:space="preserve">Candidates shall state whether they are exempt from filing campaign finance reports, as required by KRS 121.180(1)(a), by stating their spending intents for each primary, regular, or special election by using the Kentucky Election Finance Management System found on the Registry's Web site at https://kref.ky.gov.</w:t>
      </w:r>
    </w:p>
    <w:p>
      <w:pPr>
        <w:pStyle w:val="kar_subsection"/>
      </w:pPr>
      <w:r>
        <w:t>[</w:t>
      </w:r>
      <w:r>
        <w:rPr>
          <w:strike w:val="true"/>
        </w:rPr>
        <w:t xml:space="preserve">(1)</w:t>
      </w:r>
      <w:r>
        <w:t>]</w:t>
      </w:r>
      <w:r>
        <w:t xml:space="preserve"> </w:t>
      </w:r>
      <w:r>
        <w:t>[</w:t>
      </w:r>
      <w:r>
        <w:rPr>
          <w:strike w:val="true"/>
        </w:rPr>
        <w:t xml:space="preserve">The Statement of Spending Intent and Appointment of Campaign Treasurer Form shall be the official form to be used by candidates seeking an exemption from election finance reporting under KRS 121.180(1)(a).</w:t>
      </w:r>
      <w:r>
        <w:t>]</w:t>
      </w:r>
    </w:p>
    <w:p>
      <w:pPr>
        <w:pStyle w:val="kar_subsection"/>
      </w:pPr>
      <w:r>
        <w:t>[</w:t>
      </w:r>
      <w:r>
        <w:rPr>
          <w:strike w:val="true"/>
        </w:rPr>
        <w:t xml:space="preserve">(2)</w:t>
      </w:r>
      <w:r>
        <w:t>]</w:t>
      </w:r>
      <w:r>
        <w:t xml:space="preserve"> </w:t>
      </w:r>
      <w:r>
        <w:t>[</w:t>
      </w:r>
      <w:r>
        <w:rPr>
          <w:strike w:val="true"/>
        </w:rPr>
        <w:t xml:space="preserve">The Statement of Spending Intent and Appointment of Campaign Treasurer Form shall be the official form to be used by candidates seeking to rescind a request for exemption from election finance reporting under KRS 121.180(1)(b).</w:t>
      </w:r>
      <w:r>
        <w:t>]</w:t>
      </w:r>
    </w:p>
    <w:p>
      <w:pPr>
        <w:pStyle w:val="kar_section"/>
      </w:pPr>
      <w:r>
        <w:t>[</w:t>
      </w:r>
      <w:r>
        <w:rPr>
          <w:strike w:val="true"/>
        </w:rPr>
        <w:t xml:space="preserve">Section 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"Statement of Spending Intent and Appointment of Campaign Treasurer Form " reference KREF 001, revised 11/2017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the Kentucky Registry of Election Finance, 140 Walnut Street, Frankfort, Kentucky 40601, Monday through Friday, 8 a.m. to 4:30 p.m.</w:t>
      </w:r>
      <w:r>
        <w:t>]</w:t>
      </w:r>
    </w:p>
    <w:p>
      <w:pPr>
        <w:pStyle w:val="kar_signature"/>
      </w:pPr>
      <w:r>
        <w:t xml:space="preserve">JOHN R. STEFFEN, Executive Director</w:t>
      </w:r>
    </w:p>
    <w:p>
      <w:pPr>
        <w:pStyle w:val="kar_normal"/>
      </w:pPr>
      <w:r>
        <w:t xml:space="preserve"/>
      </w:r>
    </w:p>
    <w:p>
      <w:pPr>
        <w:pStyle w:val="kar_approved_by"/>
      </w:pPr>
      <w:r>
        <w:t xml:space="preserve">APPROVED BY AGENCY: June 14, 2023</w:t>
      </w:r>
    </w:p>
    <w:p>
      <w:pPr>
        <w:pStyle w:val="kar_filed"/>
      </w:pPr>
      <w:r>
        <w:t xml:space="preserve">FILED WITH LRC: June 15, 2023 at 9:10 a.m.</w:t>
      </w:r>
    </w:p>
    <w:p>
      <w:pPr>
        <w:pStyle w:val="kar_normal"/>
      </w:pPr>
      <w:r>
        <w:t xml:space="preserve"/>
      </w:r>
    </w:p>
    <w:p>
      <w:pPr>
        <w:pStyle w:val="kar_comment_period"/>
      </w:pPr>
      <w:r>
        <w:t xml:space="preserve">PUBLIC HEARING AND PUBLIC COMMENT PERIOD: A public hearing on this administrative regulation shall be held on August 21, 2023, at 10:00AM,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Chapter 121.160 requires state and local candidates to designate a campaign treasurer and KRS 121.180 allows candidates to request an exemption from making certain campaign finance reports otherwise required if they expect to spend under $3,000. This administrative regulation tells candidates how to provide the Registry with that information.</w:t>
      </w:r>
    </w:p>
    <w:p>
      <w:pPr>
        <w:pStyle w:val="kar_normal"/>
        <w:ind w:left="576"/>
      </w:pPr>
      <w:r>
        <w:t xml:space="preserve">(b) The necessity of this administrative regulation:</w:t>
      </w:r>
    </w:p>
    <w:p>
      <w:pPr>
        <w:pStyle w:val="kar_normal"/>
        <w:ind w:left="720"/>
      </w:pPr>
      <w:r>
        <w:t xml:space="preserve">This administrative regulation is necessary because, while the statutes cited above describe candidate’s filing obligations or options, they do not detail the mechanism by which candidates and slates of candidate should provide that information. Both mention only note that the regulated entities shall use a form provided by the Registry.</w:t>
      </w:r>
    </w:p>
    <w:p>
      <w:pPr>
        <w:pStyle w:val="kar_normal"/>
        <w:ind w:left="576"/>
      </w:pPr>
      <w:r>
        <w:t xml:space="preserve">(c) How this administrative regulation conforms to the content of the authorizing statutes:</w:t>
      </w:r>
    </w:p>
    <w:p>
      <w:pPr>
        <w:pStyle w:val="kar_normal"/>
        <w:ind w:left="720"/>
      </w:pPr>
      <w:r>
        <w:t xml:space="preserve">As noted above, the Registry is given the authority by statute to provide forms for the various filings that KRS Chapter 121 requires of candidates. Further, the General Assembly amended KRS 121.015 last year to make the definition of "form" mean "an online Web page or an electronic document designed to capture, validate, and submit data for processing to the registry, unless the context otherwise prescribes."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gives the location of the Web page candidates use to designate their treasurers and, if desired, to request their reporting exemptions.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original administrative regulation listed and incorporated by reference paper forms to provide the required information to the Registry. This amendment removes the mention of paper forms, which the Registry no longer uses, and replaces them with the Web page of the Kentucky Electronic Finance Management System, an electronic filing system that is required under KRS 121.120(6)(h).</w:t>
      </w:r>
    </w:p>
    <w:p>
      <w:pPr>
        <w:pStyle w:val="kar_normal"/>
        <w:ind w:left="576"/>
      </w:pPr>
      <w:r>
        <w:t xml:space="preserve">(b) The necessity of the amendment to this administrative regulation:</w:t>
      </w:r>
    </w:p>
    <w:p>
      <w:pPr>
        <w:pStyle w:val="kar_normal"/>
        <w:ind w:left="720"/>
      </w:pPr>
      <w:r>
        <w:t xml:space="preserve">As noted above, the paper forms are no longer in use and, therefore, the administrative regulation as currently written is incorrect.</w:t>
      </w:r>
    </w:p>
    <w:p>
      <w:pPr>
        <w:pStyle w:val="kar_normal"/>
        <w:ind w:left="576"/>
      </w:pPr>
      <w:r>
        <w:t xml:space="preserve">(c) How the amendment conforms to the content of the authorizing statutes:</w:t>
      </w:r>
    </w:p>
    <w:p>
      <w:pPr>
        <w:pStyle w:val="kar_normal"/>
        <w:ind w:left="720"/>
      </w:pPr>
      <w:r>
        <w:t xml:space="preserve">The amendment brings the administrative regulation into conformity with the electronic filing requirements in KRS 121.120(6)(h). Candidates have been required to file electronically since 2020 by KRS 121.120 and this amendment catches the administrative regulation up to both what is happening in reality and what the statute now requires.</w:t>
      </w:r>
    </w:p>
    <w:p>
      <w:pPr>
        <w:pStyle w:val="kar_normal"/>
        <w:ind w:left="576"/>
      </w:pPr>
      <w:r>
        <w:t xml:space="preserve">(d) How the amendment will assist in the effective administration of the statutes:</w:t>
      </w:r>
    </w:p>
    <w:p>
      <w:pPr>
        <w:pStyle w:val="kar_normal"/>
        <w:ind w:left="720"/>
      </w:pPr>
      <w:r>
        <w:t xml:space="preserve">Without this amendment, candidates have a duty to designate a treasurer, but no mechanism by which to do so. Similarly, they have an option, under the statute cited above, to request a reporting exemption, but are not told how to make that request.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candidates for state and local offices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Instead of filing the paper Statement of Spending Intent and Appointment of Campaign Treasurer form (KREF 001), the regulated entities will create a secured account through the Kentucky Electronic Management System and will use that system to provide the information formerly on the KREF 001.</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will incur no costs in complying.</w:t>
      </w:r>
    </w:p>
    <w:p>
      <w:pPr>
        <w:pStyle w:val="kar_normal"/>
        <w:ind w:left="576"/>
      </w:pPr>
      <w:r>
        <w:t xml:space="preserve">(c) As a result of compliance, what benefits will accrue to the entities identified in question (3):</w:t>
      </w:r>
    </w:p>
    <w:p>
      <w:pPr>
        <w:pStyle w:val="kar_normal"/>
        <w:ind w:left="720"/>
      </w:pPr>
      <w:r>
        <w:t xml:space="preserve">Compliance will provide the regulated population with efficient access to the administrative body’s statutorily mandated electronic filing system.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This administrative regulation itself does not apply tiering as the registration requirements under statute are the same for all candidates. The statute itself divides candidates into those that expect to raise or spend $3,000 or more and those that do not. To that extent, the administrative regulation describes how those under the $3,000 threshold make a request for exemption from most reporting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Registry of Election Finance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121.015, KRS 121.120, KRS 121.160. and KRS 121.180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This program will not cost any additional amount to administer for the first year.</w:t>
      </w:r>
    </w:p>
    <w:p>
      <w:pPr>
        <w:pStyle w:val="kar_normal"/>
        <w:ind w:left="576"/>
      </w:pPr>
      <w:r>
        <w:t xml:space="preserve">(d) How much will it cost to administer this program for subsequent years?</w:t>
      </w:r>
    </w:p>
    <w:p>
      <w:pPr>
        <w:pStyle w:val="kar_normal"/>
        <w:ind w:left="720"/>
      </w:pPr>
      <w:r>
        <w:t xml:space="preserve">This program will not cost any additional amount to administer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cost the regulated entities anything for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cost the regulated entities anything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b4efd5b0b14b5b" /><Relationship Type="http://schemas.openxmlformats.org/officeDocument/2006/relationships/settings" Target="/word/settings.xml" Id="R95dc5d5015a647ed" /></Relationships>
</file>