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5e420c860c4005" /></Relationships>
</file>

<file path=word/document.xml><?xml version="1.0" encoding="utf-8"?>
<w:document xmlns:w="http://schemas.openxmlformats.org/wordprocessingml/2006/main">
  <w:body>
    <w:p>
      <w:pPr>
        <w:pStyle w:val="kar_citation"/>
      </w:pPr>
      <w:r>
        <w:t>11 KAR 15:040.</w:t>
      </w:r>
      <w:r>
        <w:t xml:space="preserve"> </w:t>
      </w:r>
      <w:r>
        <w:t xml:space="preserve">Kentucky Educational Excellence Scholarship award determination procedure.</w:t>
      </w:r>
    </w:p>
    <w:p>
      <w:pPr>
        <w:pStyle w:val="kar_markup_metadata"/>
      </w:pPr>
      <w:r>
        <w:t xml:space="preserve">RELATES TO: </w:t>
      </w:r>
      <w:r>
        <w:t xml:space="preserve">KRS 164.7881(4)</w:t>
      </w:r>
    </w:p>
    <w:p>
      <w:pPr>
        <w:pStyle w:val="kar_markup_metadata"/>
      </w:pPr>
      <w:r>
        <w:t xml:space="preserve">STATUTORY AUTHORITY: </w:t>
      </w:r>
      <w:r>
        <w:t xml:space="preserve">KRS 164.748(4), 164.7881(4)(b),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authorizes the authority to promulgate administrative regulations for the administration of the Commonwealth Merit Scholarship Program, renamed Kentucky Educational Excellence Scholarship (KEES) Program by EO 98-1592. KRS 164.7881(4)(b) requires the authority to promulgate an administrative regulation to proportionately reduce the maximum award amount for an eligible student enrolled part-time. This administrative regulation establishes the conditions for KEES eligibility for eligible students enrolled on a part-time basis.</w:t>
      </w:r>
    </w:p>
    <w:p>
      <w:pPr>
        <w:pStyle w:val="kar_section"/>
      </w:pPr>
      <w:r>
        <w:t xml:space="preserve">Section 1.</w:t>
      </w:r>
      <w:r>
        <w:t xml:space="preserve"> </w:t>
      </w:r>
      <w:r>
        <w:t xml:space="preserve">Reduction for Part-time Study.</w:t>
      </w:r>
    </w:p>
    <w:p>
      <w:pPr>
        <w:pStyle w:val="kar_subsection"/>
      </w:pPr>
      <w:r>
        <w:t xml:space="preserve">(1)</w:t>
      </w:r>
      <w:r>
        <w:t xml:space="preserve"> </w:t>
      </w:r>
      <w:r>
        <w:t xml:space="preserve">If an eligible student is enrolled as a part-time student for an academic term, the maximum award amount to which the student is entitled shall be one-half of the maximum annual award prorated as follows:</w:t>
      </w:r>
    </w:p>
    <w:p>
      <w:pPr>
        <w:pStyle w:val="kar_paragraph"/>
      </w:pPr>
      <w:r>
        <w:t xml:space="preserve">(a)</w:t>
      </w:r>
      <w:r>
        <w:t xml:space="preserve"> </w:t>
      </w:r>
      <w:r>
        <w:t xml:space="preserve">Fifty (50) percent if enrolled for six (6) semester hours;</w:t>
      </w:r>
    </w:p>
    <w:p>
      <w:pPr>
        <w:pStyle w:val="kar_paragraph"/>
      </w:pPr>
      <w:r>
        <w:t xml:space="preserve">(b)</w:t>
      </w:r>
      <w:r>
        <w:t xml:space="preserve"> </w:t>
      </w:r>
      <w:r>
        <w:t xml:space="preserve">Fifty-eight (58) percent if enrolled for seven (7) semester hours;</w:t>
      </w:r>
    </w:p>
    <w:p>
      <w:pPr>
        <w:pStyle w:val="kar_paragraph"/>
      </w:pPr>
      <w:r>
        <w:t xml:space="preserve">(c)</w:t>
      </w:r>
      <w:r>
        <w:t xml:space="preserve"> </w:t>
      </w:r>
      <w:r>
        <w:t xml:space="preserve">Sixty-seven (67) percent if enrolled for eight (8) semester hours;</w:t>
      </w:r>
    </w:p>
    <w:p>
      <w:pPr>
        <w:pStyle w:val="kar_paragraph"/>
      </w:pPr>
      <w:r>
        <w:t xml:space="preserve">(d)</w:t>
      </w:r>
      <w:r>
        <w:t xml:space="preserve"> </w:t>
      </w:r>
      <w:r>
        <w:t xml:space="preserve">Seventy-five (75) percent if enrolled for nine (9) semester hours;</w:t>
      </w:r>
    </w:p>
    <w:p>
      <w:pPr>
        <w:pStyle w:val="kar_paragraph"/>
      </w:pPr>
      <w:r>
        <w:t xml:space="preserve">(e)</w:t>
      </w:r>
      <w:r>
        <w:t xml:space="preserve"> </w:t>
      </w:r>
      <w:r>
        <w:t xml:space="preserve">Eighty-three (83) percent if enrolled for ten (10) semester hours;</w:t>
      </w:r>
    </w:p>
    <w:p>
      <w:pPr>
        <w:pStyle w:val="kar_paragraph"/>
      </w:pPr>
      <w:r>
        <w:t xml:space="preserve">(f)</w:t>
      </w:r>
      <w:r>
        <w:t xml:space="preserve"> </w:t>
      </w:r>
      <w:r>
        <w:t xml:space="preserve">Ninety-two (92) percent if enrolled for eleven (11) semester hours; and</w:t>
      </w:r>
    </w:p>
    <w:p>
      <w:pPr>
        <w:pStyle w:val="kar_paragraph"/>
      </w:pPr>
      <w:r>
        <w:t xml:space="preserve">(g)</w:t>
      </w:r>
      <w:r>
        <w:t xml:space="preserve"> </w:t>
      </w:r>
      <w:r>
        <w:t xml:space="preserve">100 percent if enrolled for twelve (12) semester hours or more.</w:t>
      </w:r>
    </w:p>
    <w:p>
      <w:pPr>
        <w:pStyle w:val="kar_subsection"/>
      </w:pPr>
      <w:r>
        <w:t xml:space="preserve">(2)</w:t>
      </w:r>
      <w:r>
        <w:t xml:space="preserve"> </w:t>
      </w:r>
      <w:r>
        <w:t xml:space="preserve">For a quarter hour institution, in order to determine the maximum award amount to which the student is entitled, the number of quarter hours of the student's enrollment shall be converted to semester hours on either a semester or academic year basis as follows:</w:t>
      </w:r>
    </w:p>
    <w:p>
      <w:pPr>
        <w:pStyle w:val="kar_paragraph"/>
      </w:pPr>
      <w:r>
        <w:t xml:space="preserve">(a)</w:t>
      </w:r>
      <w:r>
        <w:t xml:space="preserve"> </w:t>
      </w:r>
      <w:r>
        <w:t xml:space="preserve">Quarter to semester hour conversion per semester for periods July 1 - December 31 and January 1 – June 30</w:t>
      </w:r>
    </w:p>
    <w:tbl>
      <w:tblPr>
        <w:tblStyle w:val="kar_table"/>
        <w:tblW w:w="0" w:type="auto"/>
      </w:tblPr>
      <w:tblGrid>
        <w:gridCol w:w="1"/>
        <w:gridCol w:w="1"/>
        <w:gridCol w:w="1"/>
      </w:tblGrid>
      <w:tr>
        <w:tc>
          <w:tcPr/>
          <w:p>
            <w:pPr>
              <w:pStyle w:val="kar_table_cell"/>
            </w:pPr>
            <w:r>
              <w:t xml:space="preserve">Quarter Hours</w:t>
            </w:r>
          </w:p>
        </w:tc>
        <w:tc>
          <w:tcPr/>
          <w:p>
            <w:pPr>
              <w:pStyle w:val="kar_table_cell"/>
            </w:pPr>
            <w:r>
              <w:t xml:space="preserve">Semester Hours</w:t>
            </w:r>
          </w:p>
        </w:tc>
        <w:tc>
          <w:tcPr/>
          <w:p>
            <w:pPr>
              <w:pStyle w:val="kar_table_cell"/>
            </w:pPr>
            <w:r>
              <w:t xml:space="preserve">Award Percentage</w:t>
            </w:r>
          </w:p>
        </w:tc>
      </w:tr>
      <w:tr>
        <w:tc>
          <w:tcPr/>
          <w:p>
            <w:pPr>
              <w:pStyle w:val="kar_table_cell"/>
              <w:jc w:val="center"/>
            </w:pPr>
            <w:r>
              <w:t xml:space="preserve">18</w:t>
            </w:r>
          </w:p>
        </w:tc>
        <w:tc>
          <w:tcPr/>
          <w:p>
            <w:pPr>
              <w:pStyle w:val="kar_table_cell"/>
              <w:jc w:val="center"/>
            </w:pPr>
            <w:r>
              <w:t xml:space="preserve">12</w:t>
            </w:r>
          </w:p>
        </w:tc>
        <w:tc>
          <w:tcPr/>
          <w:p>
            <w:pPr>
              <w:pStyle w:val="kar_table_cell"/>
              <w:jc w:val="center"/>
            </w:pPr>
            <w:r>
              <w:t xml:space="preserve">100</w:t>
            </w:r>
          </w:p>
        </w:tc>
      </w:tr>
      <w:tr>
        <w:tc>
          <w:tcPr/>
          <w:p>
            <w:pPr>
              <w:pStyle w:val="kar_table_cell"/>
              <w:jc w:val="center"/>
            </w:pPr>
            <w:r>
              <w:t xml:space="preserve">16</w:t>
            </w:r>
          </w:p>
        </w:tc>
        <w:tc>
          <w:tcPr/>
          <w:p>
            <w:pPr>
              <w:pStyle w:val="kar_table_cell"/>
              <w:jc w:val="center"/>
            </w:pPr>
            <w:r>
              <w:t xml:space="preserve">11</w:t>
            </w:r>
          </w:p>
        </w:tc>
        <w:tc>
          <w:tcPr/>
          <w:p>
            <w:pPr>
              <w:pStyle w:val="kar_table_cell"/>
              <w:jc w:val="center"/>
            </w:pPr>
            <w:r>
              <w:t xml:space="preserve">92</w:t>
            </w:r>
          </w:p>
        </w:tc>
      </w:tr>
      <w:tr>
        <w:tc>
          <w:tcPr/>
          <w:p>
            <w:pPr>
              <w:pStyle w:val="kar_table_cell"/>
              <w:jc w:val="center"/>
            </w:pPr>
            <w:r>
              <w:t xml:space="preserve">14</w:t>
            </w:r>
          </w:p>
        </w:tc>
        <w:tc>
          <w:tcPr/>
          <w:p>
            <w:pPr>
              <w:pStyle w:val="kar_table_cell"/>
              <w:jc w:val="center"/>
            </w:pPr>
            <w:r>
              <w:t xml:space="preserve">10</w:t>
            </w:r>
          </w:p>
        </w:tc>
        <w:tc>
          <w:tcPr/>
          <w:p>
            <w:pPr>
              <w:pStyle w:val="kar_table_cell"/>
              <w:jc w:val="center"/>
            </w:pPr>
            <w:r>
              <w:t xml:space="preserve">83</w:t>
            </w:r>
          </w:p>
        </w:tc>
      </w:tr>
      <w:tr>
        <w:tc>
          <w:tcPr/>
          <w:p>
            <w:pPr>
              <w:pStyle w:val="kar_table_cell"/>
              <w:jc w:val="center"/>
            </w:pPr>
            <w:r>
              <w:t xml:space="preserve">13</w:t>
            </w:r>
          </w:p>
        </w:tc>
        <w:tc>
          <w:tcPr/>
          <w:p>
            <w:pPr>
              <w:pStyle w:val="kar_table_cell"/>
              <w:jc w:val="center"/>
            </w:pPr>
            <w:r>
              <w:t xml:space="preserve">9</w:t>
            </w:r>
          </w:p>
        </w:tc>
        <w:tc>
          <w:tcPr/>
          <w:p>
            <w:pPr>
              <w:pStyle w:val="kar_table_cell"/>
              <w:jc w:val="center"/>
            </w:pPr>
            <w:r>
              <w:t xml:space="preserve">75</w:t>
            </w:r>
          </w:p>
        </w:tc>
      </w:tr>
      <w:tr>
        <w:tc>
          <w:tcPr/>
          <w:p>
            <w:pPr>
              <w:pStyle w:val="kar_table_cell"/>
              <w:jc w:val="center"/>
            </w:pPr>
            <w:r>
              <w:t xml:space="preserve">12</w:t>
            </w:r>
          </w:p>
        </w:tc>
        <w:tc>
          <w:tcPr/>
          <w:p>
            <w:pPr>
              <w:pStyle w:val="kar_table_cell"/>
              <w:jc w:val="center"/>
            </w:pPr>
            <w:r>
              <w:t xml:space="preserve">8</w:t>
            </w:r>
          </w:p>
        </w:tc>
        <w:tc>
          <w:tcPr/>
          <w:p>
            <w:pPr>
              <w:pStyle w:val="kar_table_cell"/>
              <w:jc w:val="center"/>
            </w:pPr>
            <w:r>
              <w:t xml:space="preserve">67</w:t>
            </w:r>
          </w:p>
        </w:tc>
      </w:tr>
      <w:tr>
        <w:tc>
          <w:tcPr/>
          <w:p>
            <w:pPr>
              <w:pStyle w:val="kar_table_cell"/>
              <w:jc w:val="center"/>
            </w:pPr>
            <w:r>
              <w:t xml:space="preserve">10</w:t>
            </w:r>
          </w:p>
        </w:tc>
        <w:tc>
          <w:tcPr/>
          <w:p>
            <w:pPr>
              <w:pStyle w:val="kar_table_cell"/>
              <w:jc w:val="center"/>
            </w:pPr>
            <w:r>
              <w:t xml:space="preserve">7</w:t>
            </w:r>
          </w:p>
        </w:tc>
        <w:tc>
          <w:tcPr/>
          <w:p>
            <w:pPr>
              <w:pStyle w:val="kar_table_cell"/>
              <w:jc w:val="center"/>
            </w:pPr>
            <w:r>
              <w:t xml:space="preserve">58</w:t>
            </w:r>
          </w:p>
        </w:tc>
      </w:tr>
      <w:tr>
        <w:tc>
          <w:tcPr/>
          <w:p>
            <w:pPr>
              <w:pStyle w:val="kar_table_cell"/>
              <w:jc w:val="center"/>
            </w:pPr>
            <w:r>
              <w:t xml:space="preserve">8</w:t>
            </w:r>
          </w:p>
        </w:tc>
        <w:tc>
          <w:tcPr/>
          <w:p>
            <w:pPr>
              <w:pStyle w:val="kar_table_cell"/>
              <w:jc w:val="center"/>
            </w:pPr>
            <w:r>
              <w:t xml:space="preserve">6</w:t>
            </w:r>
          </w:p>
        </w:tc>
        <w:tc>
          <w:tcPr/>
          <w:p>
            <w:pPr>
              <w:pStyle w:val="kar_table_cell"/>
              <w:jc w:val="center"/>
            </w:pPr>
            <w:r>
              <w:t xml:space="preserve">50</w:t>
            </w:r>
          </w:p>
        </w:tc>
      </w:tr>
      <w:tr>
        <w:tc>
          <w:tcPr/>
          <w:p>
            <w:pPr>
              <w:pStyle w:val="kar_table_cell"/>
              <w:jc w:val="center"/>
            </w:pPr>
            <w:r>
              <w:t xml:space="preserve">6</w:t>
            </w:r>
          </w:p>
        </w:tc>
        <w:tc>
          <w:tcPr/>
          <w:p>
            <w:pPr>
              <w:pStyle w:val="kar_table_cell"/>
              <w:jc w:val="center"/>
            </w:pPr>
            <w:r>
              <w:t xml:space="preserve">4</w:t>
            </w:r>
          </w:p>
        </w:tc>
        <w:tc>
          <w:tcPr/>
          <w:p>
            <w:pPr>
              <w:pStyle w:val="kar_table_cell"/>
              <w:jc w:val="center"/>
            </w:pPr>
            <w:r>
              <w:t xml:space="preserve">0</w:t>
            </w:r>
          </w:p>
        </w:tc>
      </w:tr>
      <w:tr>
        <w:tc>
          <w:tcPr/>
          <w:p>
            <w:pPr>
              <w:pStyle w:val="kar_table_cell"/>
              <w:jc w:val="center"/>
            </w:pPr>
            <w:r>
              <w:t xml:space="preserve">4</w:t>
            </w:r>
          </w:p>
        </w:tc>
        <w:tc>
          <w:tcPr/>
          <w:p>
            <w:pPr>
              <w:pStyle w:val="kar_table_cell"/>
              <w:jc w:val="center"/>
            </w:pPr>
            <w:r>
              <w:t xml:space="preserve">3</w:t>
            </w:r>
          </w:p>
        </w:tc>
        <w:tc>
          <w:tcPr/>
          <w:p>
            <w:pPr>
              <w:pStyle w:val="kar_table_cell"/>
              <w:jc w:val="center"/>
            </w:pPr>
            <w:r>
              <w:t xml:space="preserve">0</w:t>
            </w:r>
          </w:p>
        </w:tc>
      </w:tr>
      <w:tr>
        <w:tc>
          <w:tcPr/>
          <w:p>
            <w:pPr>
              <w:pStyle w:val="kar_table_cell"/>
              <w:jc w:val="center"/>
            </w:pPr>
            <w:r>
              <w:t xml:space="preserve">2</w:t>
            </w:r>
          </w:p>
        </w:tc>
        <w:tc>
          <w:tcPr/>
          <w:p>
            <w:pPr>
              <w:pStyle w:val="kar_table_cell"/>
              <w:jc w:val="center"/>
            </w:pPr>
            <w:r>
              <w:t xml:space="preserve">2</w:t>
            </w:r>
          </w:p>
        </w:tc>
        <w:tc>
          <w:tcPr/>
          <w:p>
            <w:pPr>
              <w:pStyle w:val="kar_table_cell"/>
              <w:jc w:val="center"/>
            </w:pPr>
            <w:r>
              <w:t xml:space="preserve">0</w:t>
            </w:r>
          </w:p>
        </w:tc>
      </w:tr>
    </w:tbl>
    <w:p>
      <w:pPr>
        <w:pStyle w:val="kar_paragraph"/>
      </w:pPr>
      <w:r>
        <w:t xml:space="preserve">(b)</w:t>
      </w:r>
      <w:r>
        <w:t xml:space="preserve"> </w:t>
      </w:r>
      <w:r>
        <w:t xml:space="preserve">Quarter to semester hour conversion per academic year for periods July 1 – June 30</w:t>
      </w:r>
    </w:p>
    <w:tbl>
      <w:tblPr>
        <w:tblStyle w:val="kar_table"/>
        <w:tblW w:w="0" w:type="auto"/>
      </w:tblPr>
      <w:tblGrid>
        <w:gridCol w:w="1"/>
        <w:gridCol w:w="1"/>
        <w:gridCol w:w="1"/>
      </w:tblGrid>
      <w:tr>
        <w:tc>
          <w:tcPr/>
          <w:p>
            <w:pPr>
              <w:pStyle w:val="kar_table_cell"/>
            </w:pPr>
            <w:r>
              <w:t xml:space="preserve">Quarter Hours</w:t>
            </w:r>
          </w:p>
        </w:tc>
        <w:tc>
          <w:tcPr/>
          <w:p>
            <w:pPr>
              <w:pStyle w:val="kar_table_cell"/>
            </w:pPr>
            <w:r>
              <w:t xml:space="preserve">Semester Hours</w:t>
            </w:r>
          </w:p>
        </w:tc>
        <w:tc>
          <w:tcPr/>
          <w:p>
            <w:pPr>
              <w:pStyle w:val="kar_table_cell"/>
            </w:pPr>
            <w:r>
              <w:t xml:space="preserve">Award Percentage</w:t>
            </w:r>
          </w:p>
        </w:tc>
      </w:tr>
      <w:tr>
        <w:tc>
          <w:tcPr/>
          <w:p>
            <w:pPr>
              <w:pStyle w:val="kar_table_cell"/>
              <w:jc w:val="center"/>
            </w:pPr>
            <w:r>
              <w:t xml:space="preserve">36</w:t>
            </w:r>
          </w:p>
        </w:tc>
        <w:tc>
          <w:tcPr/>
          <w:p>
            <w:pPr>
              <w:pStyle w:val="kar_table_cell"/>
              <w:jc w:val="center"/>
            </w:pPr>
            <w:r>
              <w:t xml:space="preserve">24</w:t>
            </w:r>
          </w:p>
        </w:tc>
        <w:tc>
          <w:tcPr/>
          <w:p>
            <w:pPr>
              <w:pStyle w:val="kar_table_cell"/>
              <w:jc w:val="center"/>
            </w:pPr>
            <w:r>
              <w:t xml:space="preserve">100</w:t>
            </w:r>
          </w:p>
        </w:tc>
      </w:tr>
      <w:tr>
        <w:tc>
          <w:tcPr/>
          <w:p>
            <w:pPr>
              <w:pStyle w:val="kar_table_cell"/>
              <w:jc w:val="center"/>
            </w:pPr>
            <w:r>
              <w:t xml:space="preserve">32</w:t>
            </w:r>
          </w:p>
        </w:tc>
        <w:tc>
          <w:tcPr/>
          <w:p>
            <w:pPr>
              <w:pStyle w:val="kar_table_cell"/>
              <w:jc w:val="center"/>
            </w:pPr>
            <w:r>
              <w:t xml:space="preserve">22</w:t>
            </w:r>
          </w:p>
        </w:tc>
        <w:tc>
          <w:tcPr/>
          <w:p>
            <w:pPr>
              <w:pStyle w:val="kar_table_cell"/>
              <w:jc w:val="center"/>
            </w:pPr>
            <w:r>
              <w:t xml:space="preserve">92</w:t>
            </w:r>
          </w:p>
        </w:tc>
      </w:tr>
      <w:tr>
        <w:tc>
          <w:tcPr/>
          <w:p>
            <w:pPr>
              <w:pStyle w:val="kar_table_cell"/>
              <w:jc w:val="center"/>
            </w:pPr>
            <w:r>
              <w:t xml:space="preserve">28</w:t>
            </w:r>
          </w:p>
        </w:tc>
        <w:tc>
          <w:tcPr/>
          <w:p>
            <w:pPr>
              <w:pStyle w:val="kar_table_cell"/>
              <w:jc w:val="center"/>
            </w:pPr>
            <w:r>
              <w:t xml:space="preserve">20</w:t>
            </w:r>
          </w:p>
        </w:tc>
        <w:tc>
          <w:tcPr/>
          <w:p>
            <w:pPr>
              <w:pStyle w:val="kar_table_cell"/>
              <w:jc w:val="center"/>
            </w:pPr>
            <w:r>
              <w:t xml:space="preserve">83</w:t>
            </w:r>
          </w:p>
        </w:tc>
      </w:tr>
      <w:tr>
        <w:tc>
          <w:tcPr/>
          <w:p>
            <w:pPr>
              <w:pStyle w:val="kar_table_cell"/>
              <w:jc w:val="center"/>
            </w:pPr>
            <w:r>
              <w:t xml:space="preserve">24</w:t>
            </w:r>
          </w:p>
        </w:tc>
        <w:tc>
          <w:tcPr/>
          <w:p>
            <w:pPr>
              <w:pStyle w:val="kar_table_cell"/>
              <w:jc w:val="center"/>
            </w:pPr>
            <w:r>
              <w:t xml:space="preserve">16</w:t>
            </w:r>
          </w:p>
        </w:tc>
        <w:tc>
          <w:tcPr/>
          <w:p>
            <w:pPr>
              <w:pStyle w:val="kar_table_cell"/>
              <w:jc w:val="center"/>
            </w:pPr>
            <w:r>
              <w:t xml:space="preserve">67</w:t>
            </w:r>
          </w:p>
        </w:tc>
      </w:tr>
      <w:tr>
        <w:tc>
          <w:tcPr/>
          <w:p>
            <w:pPr>
              <w:pStyle w:val="kar_table_cell"/>
              <w:jc w:val="center"/>
            </w:pPr>
            <w:r>
              <w:t xml:space="preserve">20</w:t>
            </w:r>
          </w:p>
        </w:tc>
        <w:tc>
          <w:tcPr/>
          <w:p>
            <w:pPr>
              <w:pStyle w:val="kar_table_cell"/>
              <w:jc w:val="center"/>
            </w:pPr>
            <w:r>
              <w:t xml:space="preserve">14</w:t>
            </w:r>
          </w:p>
        </w:tc>
        <w:tc>
          <w:tcPr/>
          <w:p>
            <w:pPr>
              <w:pStyle w:val="kar_table_cell"/>
              <w:jc w:val="center"/>
            </w:pPr>
            <w:r>
              <w:t xml:space="preserve">58</w:t>
            </w:r>
          </w:p>
        </w:tc>
      </w:tr>
      <w:tr>
        <w:tc>
          <w:tcPr/>
          <w:p>
            <w:pPr>
              <w:pStyle w:val="kar_table_cell"/>
              <w:jc w:val="center"/>
            </w:pPr>
            <w:r>
              <w:t xml:space="preserve">16</w:t>
            </w:r>
          </w:p>
        </w:tc>
        <w:tc>
          <w:tcPr/>
          <w:p>
            <w:pPr>
              <w:pStyle w:val="kar_table_cell"/>
              <w:jc w:val="center"/>
            </w:pPr>
            <w:r>
              <w:t xml:space="preserve">12</w:t>
            </w:r>
          </w:p>
        </w:tc>
        <w:tc>
          <w:tcPr/>
          <w:p>
            <w:pPr>
              <w:pStyle w:val="kar_table_cell"/>
              <w:jc w:val="center"/>
            </w:pPr>
            <w:r>
              <w:t xml:space="preserve">50</w:t>
            </w:r>
          </w:p>
        </w:tc>
      </w:tr>
      <w:tr>
        <w:tc>
          <w:tcPr/>
          <w:p>
            <w:pPr>
              <w:pStyle w:val="kar_table_cell"/>
              <w:jc w:val="center"/>
            </w:pPr>
            <w:r>
              <w:t xml:space="preserve">12</w:t>
            </w:r>
          </w:p>
        </w:tc>
        <w:tc>
          <w:tcPr/>
          <w:p>
            <w:pPr>
              <w:pStyle w:val="kar_table_cell"/>
              <w:jc w:val="center"/>
            </w:pPr>
            <w:r>
              <w:t xml:space="preserve">8</w:t>
            </w:r>
          </w:p>
        </w:tc>
        <w:tc>
          <w:tcPr/>
          <w:p>
            <w:pPr>
              <w:pStyle w:val="kar_table_cell"/>
              <w:jc w:val="center"/>
            </w:pPr>
            <w:r>
              <w:t xml:space="preserve">0</w:t>
            </w:r>
          </w:p>
        </w:tc>
      </w:tr>
      <w:tr>
        <w:tc>
          <w:tcPr/>
          <w:p>
            <w:pPr>
              <w:pStyle w:val="kar_table_cell"/>
              <w:jc w:val="center"/>
            </w:pPr>
            <w:r>
              <w:t xml:space="preserve">8</w:t>
            </w:r>
          </w:p>
        </w:tc>
        <w:tc>
          <w:tcPr/>
          <w:p>
            <w:pPr>
              <w:pStyle w:val="kar_table_cell"/>
              <w:jc w:val="center"/>
            </w:pPr>
            <w:r>
              <w:t xml:space="preserve">6</w:t>
            </w:r>
          </w:p>
        </w:tc>
        <w:tc>
          <w:tcPr/>
          <w:p>
            <w:pPr>
              <w:pStyle w:val="kar_table_cell"/>
              <w:jc w:val="center"/>
            </w:pPr>
            <w:r>
              <w:t xml:space="preserve">0</w:t>
            </w:r>
          </w:p>
        </w:tc>
      </w:tr>
      <w:tr>
        <w:tc>
          <w:tcPr/>
          <w:p>
            <w:pPr>
              <w:pStyle w:val="kar_table_cell"/>
              <w:jc w:val="center"/>
            </w:pPr>
            <w:r>
              <w:t xml:space="preserve">4</w:t>
            </w:r>
          </w:p>
        </w:tc>
        <w:tc>
          <w:tcPr/>
          <w:p>
            <w:pPr>
              <w:pStyle w:val="kar_table_cell"/>
              <w:jc w:val="center"/>
            </w:pPr>
            <w:r>
              <w:t xml:space="preserve">4</w:t>
            </w:r>
          </w:p>
        </w:tc>
        <w:tc>
          <w:tcPr/>
          <w:p>
            <w:pPr>
              <w:pStyle w:val="kar_table_cell"/>
              <w:jc w:val="center"/>
            </w:pPr>
            <w:r>
              <w:t xml:space="preserve">0</w:t>
            </w:r>
          </w:p>
        </w:tc>
      </w:tr>
    </w:tbl>
    <w:p>
      <w:pPr>
        <w:pStyle w:val="kar_subsection"/>
      </w:pPr>
      <w:r>
        <w:t xml:space="preserve">(3)</w:t>
      </w:r>
      <w:r>
        <w:t xml:space="preserve"> </w:t>
      </w:r>
      <w:r>
        <w:t xml:space="preserve">The equivalent academic unit of measurement shall be used to correspond to a semester hour, if the participating institution does not use semester hours.</w:t>
      </w:r>
    </w:p>
    <w:p>
      <w:pPr>
        <w:pStyle w:val="kar_subsection"/>
      </w:pPr>
      <w:r>
        <w:t xml:space="preserve">(4)</w:t>
      </w:r>
      <w:r>
        <w:t xml:space="preserve"> </w:t>
      </w:r>
      <w:r>
        <w:t xml:space="preserve">A participating institution shall determine full-time and less than full-time enrollment status for purposes of subsection (1) of this section in the same manner as the participating institution uses to determine enrollment status for Pell Grant eligibility.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468; 818; eff. 10-1-1998; 25 Ky.R. 2923; eff. 9-1-1999; 40 Ky.R. 82; 531; eff. 9-9-2013; Cert eff. 9-28-2018; 50 Ky.R. 69;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89a14b12e74f14" /><Relationship Type="http://schemas.openxmlformats.org/officeDocument/2006/relationships/settings" Target="/word/settings.xml" Id="R64223ee75b24446c" /></Relationships>
</file>