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cae58ef1a4428a" /></Relationships>
</file>

<file path=word/document.xml><?xml version="1.0" encoding="utf-8"?>
<w:document xmlns:w="http://schemas.openxmlformats.org/wordprocessingml/2006/main">
  <w:body>
    <w:p>
      <w:pPr>
        <w:pStyle w:val="kar_markup_header"/>
      </w:pPr>
      <w:r>
        <w:t xml:space="preserve">GENERAL GOVERNMENT</w:t>
      </w:r>
    </w:p>
    <w:p>
      <w:pPr>
        <w:pStyle w:val="kar_markup_header"/>
      </w:pPr>
      <w:r>
        <w:t xml:space="preserve">Department of Agriculture</w:t>
      </w:r>
    </w:p>
    <w:p>
      <w:pPr>
        <w:pStyle w:val="kar_markup_header"/>
      </w:pPr>
      <w:r>
        <w:t xml:space="preserve">Office of the Consumer and Environmental Protection</w:t>
      </w:r>
    </w:p>
    <w:p>
      <w:pPr>
        <w:pStyle w:val="kar_markup_header"/>
        <w:ind w:firstLine="0"/>
      </w:pPr>
      <w:r>
        <w:t>(Amendment)</w:t>
      </w:r>
    </w:p>
    <w:p>
      <w:pPr>
        <w:pStyle w:val="kar_citation"/>
      </w:pPr>
      <w:r>
        <w:t>302 KAR 16:030.</w:t>
      </w:r>
      <w:r>
        <w:t xml:space="preserve"> </w:t>
      </w:r>
      <w:r>
        <w:t xml:space="preserve">Determination of administrative or safety violations which cannot be corrected immediately; section stop order.</w:t>
      </w:r>
    </w:p>
    <w:p>
      <w:pPr>
        <w:pStyle w:val="kar_markup_metadata"/>
      </w:pPr>
      <w:r>
        <w:t xml:space="preserve">RELATES TO: </w:t>
      </w:r>
      <w:r>
        <w:t xml:space="preserve">KRS 247.232, 247.234, 247.236</w:t>
      </w:r>
    </w:p>
    <w:p>
      <w:pPr>
        <w:pStyle w:val="kar_markup_metadata"/>
      </w:pPr>
      <w:r>
        <w:t xml:space="preserve">STATUTORY AUTHORITY: </w:t>
      </w:r>
      <w:r>
        <w:t xml:space="preserve">KRS 247.234, 247.236</w:t>
      </w:r>
    </w:p>
    <w:p>
      <w:pPr>
        <w:pStyle w:val="kar_markup_metadata"/>
      </w:pPr>
      <w:r>
        <w:t xml:space="preserve">NECESSITY, FUNCTION, AND CONFORMITY: </w:t>
      </w:r>
      <w:r>
        <w:t xml:space="preserve">KRS 247.234 authorizes the Commissioner of the Department of Agriculture to provide for inspections for amusement rides or attractions. This administrative regulation establishes procedures to determine violations which cannot be immediately corrected.</w:t>
      </w:r>
    </w:p>
    <w:p>
      <w:pPr>
        <w:pStyle w:val="kar_section"/>
      </w:pPr>
      <w:r>
        <w:t xml:space="preserve">Section 1.</w:t>
      </w:r>
      <w:r>
        <w:t xml:space="preserve"> </w:t>
      </w:r>
      <w:r>
        <w:t xml:space="preserve">Definition. "Immediately correctable violation" means a violation which can be corrected on the day of </w:t>
      </w:r>
      <w:r>
        <w:rPr>
          <w:u w:val="single"/>
        </w:rPr>
        <w:t xml:space="preserve">an</w:t>
      </w:r>
      <w:r>
        <w:t>[</w:t>
      </w:r>
      <w:r>
        <w:rPr>
          <w:strike w:val="true"/>
        </w:rPr>
        <w:t xml:space="preserve">the initial</w:t>
      </w:r>
      <w:r>
        <w:t>]</w:t>
      </w:r>
      <w:r>
        <w:t xml:space="preserve"> inspection.</w:t>
      </w:r>
    </w:p>
    <w:p>
      <w:pPr>
        <w:pStyle w:val="kar_section"/>
      </w:pPr>
      <w:r>
        <w:t xml:space="preserve">Section 2.</w:t>
      </w:r>
      <w:r>
        <w:t xml:space="preserve"> </w:t>
      </w:r>
      <w:r>
        <w:t xml:space="preserve">The department's inspector shall determine the nature and severity of violations and shall determine if the violations are not immediately correctable based on the manufacturer's standards, KRS 247.232 through 247.236, and 302 KAR 16:010 through 302 KAR 16:140.</w:t>
      </w:r>
    </w:p>
    <w:p>
      <w:pPr>
        <w:pStyle w:val="kar_section"/>
      </w:pPr>
      <w:r>
        <w:t xml:space="preserve">Section 3.</w:t>
      </w:r>
      <w:r>
        <w:t xml:space="preserve"> </w:t>
      </w:r>
      <w:r>
        <w:t xml:space="preserve">A violation issued for operation of an amusement ride or amusement attraction without a valid </w:t>
      </w:r>
      <w:r>
        <w:rPr>
          <w:u w:val="single"/>
        </w:rPr>
        <w:t xml:space="preserve">permit may</w:t>
      </w:r>
      <w:r>
        <w:t>[</w:t>
      </w:r>
      <w:r>
        <w:rPr>
          <w:strike w:val="true"/>
        </w:rPr>
        <w:t xml:space="preserve">business identification number shall</w:t>
      </w:r>
      <w:r>
        <w:t>]</w:t>
      </w:r>
      <w:r>
        <w:t xml:space="preserve"> be considered a violation which is not immediately correctable.</w:t>
      </w:r>
    </w:p>
    <w:p>
      <w:pPr>
        <w:pStyle w:val="kar_section"/>
      </w:pPr>
      <w:r>
        <w:t xml:space="preserve">Section 4.</w:t>
      </w:r>
      <w:r>
        <w:t xml:space="preserve"> </w:t>
      </w:r>
      <w:r>
        <w:t xml:space="preserve">A safety inspector may order closed a unit or </w:t>
      </w:r>
      <w:r>
        <w:rPr>
          <w:u w:val="single"/>
        </w:rPr>
        <w:t xml:space="preserve">section</w:t>
      </w:r>
      <w:r>
        <w:t>[</w:t>
      </w:r>
      <w:r>
        <w:rPr>
          <w:strike w:val="true"/>
        </w:rPr>
        <w:t xml:space="preserve">portion</w:t>
      </w:r>
      <w:r>
        <w:t>]</w:t>
      </w:r>
      <w:r>
        <w:t xml:space="preserve"> of a ride which fails to comply with safety or operational guidelines, if closure of </w:t>
      </w:r>
      <w:r>
        <w:rPr>
          <w:u w:val="single"/>
        </w:rPr>
        <w:t xml:space="preserve">that section of </w:t>
      </w:r>
      <w:r>
        <w:t xml:space="preserve">the ride does not affect the remaining </w:t>
      </w:r>
      <w:r>
        <w:rPr>
          <w:u w:val="single"/>
        </w:rPr>
        <w:t xml:space="preserve">units or sections</w:t>
      </w:r>
      <w:r>
        <w:t>[</w:t>
      </w:r>
      <w:r>
        <w:rPr>
          <w:strike w:val="true"/>
        </w:rPr>
        <w:t xml:space="preserve">portion</w:t>
      </w:r>
      <w:r>
        <w:t>]</w:t>
      </w:r>
      <w:r>
        <w:t xml:space="preserve"> of the ride, by placing upon that unit or </w:t>
      </w:r>
      <w:r>
        <w:rPr>
          <w:u w:val="single"/>
        </w:rPr>
        <w:t xml:space="preserve">section</w:t>
      </w:r>
      <w:r>
        <w:t>[</w:t>
      </w:r>
      <w:r>
        <w:rPr>
          <w:strike w:val="true"/>
        </w:rPr>
        <w:t xml:space="preserve">portion</w:t>
      </w:r>
      <w:r>
        <w:t>]</w:t>
      </w:r>
      <w:r>
        <w:t xml:space="preserve"> of the ride a section stop order. The owner shall notify the department when the unit or </w:t>
      </w:r>
      <w:r>
        <w:rPr>
          <w:u w:val="single"/>
        </w:rPr>
        <w:t xml:space="preserve">section</w:t>
      </w:r>
      <w:r>
        <w:t>[</w:t>
      </w:r>
      <w:r>
        <w:rPr>
          <w:strike w:val="true"/>
        </w:rPr>
        <w:t xml:space="preserve">portion</w:t>
      </w:r>
      <w:r>
        <w:t>]</w:t>
      </w:r>
      <w:r>
        <w:t xml:space="preserve"> of the ride has been repaired to </w:t>
      </w:r>
      <w:r>
        <w:rPr>
          <w:u w:val="single"/>
        </w:rPr>
        <w:t xml:space="preserve">provide the department with</w:t>
      </w:r>
      <w:r>
        <w:t>[</w:t>
      </w:r>
      <w:r>
        <w:rPr>
          <w:strike w:val="true"/>
        </w:rPr>
        <w:t xml:space="preserve">obtain</w:t>
      </w:r>
      <w:r>
        <w:t>]</w:t>
      </w:r>
      <w:r>
        <w:t xml:space="preserve"> information </w:t>
      </w:r>
      <w:r>
        <w:rPr>
          <w:u w:val="single"/>
        </w:rPr>
        <w:t xml:space="preserve">in support of a</w:t>
      </w:r>
      <w:r>
        <w:t>[</w:t>
      </w:r>
      <w:r>
        <w:rPr>
          <w:strike w:val="true"/>
        </w:rPr>
        <w:t xml:space="preserve">for</w:t>
      </w:r>
      <w:r>
        <w:t>]</w:t>
      </w:r>
      <w:r>
        <w:t xml:space="preserve"> section stop order removal.</w:t>
      </w:r>
    </w:p>
    <w:p>
      <w:pPr>
        <w:pStyle w:val="kar_signature"/>
      </w:pPr>
      <w:r>
        <w:t xml:space="preserve">RYAN QUARLES, Commissioner of Agriculture</w:t>
      </w:r>
    </w:p>
    <w:p>
      <w:pPr>
        <w:pStyle w:val="kar_normal"/>
      </w:pPr>
      <w:r>
        <w:t xml:space="preserve"/>
      </w:r>
    </w:p>
    <w:p>
      <w:pPr>
        <w:pStyle w:val="kar_approved_by"/>
      </w:pPr>
      <w:r>
        <w:t xml:space="preserve">APPROVED BY AGENCY: June 14, 2023</w:t>
      </w:r>
    </w:p>
    <w:p>
      <w:pPr>
        <w:pStyle w:val="kar_filed"/>
      </w:pPr>
      <w:r>
        <w:t xml:space="preserve">FILED WITH LRC: June 14, 2023 at 3:55 p.m.</w:t>
      </w:r>
    </w:p>
    <w:p>
      <w:pPr>
        <w:pStyle w:val="kar_normal"/>
      </w:pPr>
      <w:r>
        <w:t xml:space="preserve"/>
      </w:r>
    </w:p>
    <w:p>
      <w:pPr>
        <w:pStyle w:val="kar_comment_period"/>
      </w:pPr>
      <w:r>
        <w:t xml:space="preserve">PUBLIC HEARING AND PUBLIC COMMENT PERIOD: A public hearing on this administrative regulation shall be held on August 22, 2023 at 11:00 a.m., at the Kentucky Department of Agriculture, 111 Corporate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Clint Quarles, Staff Attorney, Kentucky Department of Agriculture, 107 Corporate Drive, Frankfort Kentucky 40601, phone (502) 330-6360, email clint.quarles@ky.gov.</w:t>
      </w:r>
    </w:p>
    <w:p>
      <w:pPr>
        <w:pStyle w:val="kar_form_name"/>
      </w:pPr>
      <w:r>
        <w:t xml:space="preserve">REGULATORY IMPACT ANALYSIS AND TIERING STATEMENT</w:t>
      </w:r>
    </w:p>
    <w:p>
      <w:pPr>
        <w:pStyle w:val="kar_normal"/>
        <w:ind w:left="0"/>
      </w:pPr>
      <w:r>
        <w:t xml:space="preserve">Contact Person:</w:t>
      </w:r>
      <w:r>
        <w:t xml:space="preserve"> Clint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identifies instances when a device may continue to operate and when it may not.</w:t>
      </w:r>
    </w:p>
    <w:p>
      <w:pPr>
        <w:pStyle w:val="kar_normal"/>
        <w:ind w:left="576"/>
      </w:pPr>
      <w:r>
        <w:t xml:space="preserve">(b) The necessity of this administrative regulation:</w:t>
      </w:r>
    </w:p>
    <w:p>
      <w:pPr>
        <w:pStyle w:val="kar_normal"/>
        <w:ind w:left="720"/>
      </w:pPr>
      <w:r>
        <w:t xml:space="preserve">This filing makes clear the circumstances that a device may continue to be used and what the procedure is when it cannot.</w:t>
      </w:r>
    </w:p>
    <w:p>
      <w:pPr>
        <w:pStyle w:val="kar_normal"/>
        <w:ind w:left="576"/>
      </w:pPr>
      <w:r>
        <w:t xml:space="preserve">(c) How this administrative regulation conforms to the content of the authorizing statutes:</w:t>
      </w:r>
    </w:p>
    <w:p>
      <w:pPr>
        <w:pStyle w:val="kar_normal"/>
        <w:ind w:left="720"/>
      </w:pPr>
      <w:r>
        <w:t xml:space="preserve">The statutes charge the KDA with determination of circumstances requiring a stop operation order.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filing makes clear for all entities when a ride or device may operate.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filing updates references from business identification number to a permit, and makes other changes to clarify terms and frequency references.</w:t>
      </w:r>
    </w:p>
    <w:p>
      <w:pPr>
        <w:pStyle w:val="kar_normal"/>
        <w:ind w:left="576"/>
      </w:pPr>
      <w:r>
        <w:t xml:space="preserve">(b) The necessity of the amendment to this administrative regulation:</w:t>
      </w:r>
    </w:p>
    <w:p>
      <w:pPr>
        <w:pStyle w:val="kar_normal"/>
        <w:ind w:left="720"/>
      </w:pPr>
      <w:r>
        <w:t xml:space="preserve">This filing is needed to clarify the regulation.</w:t>
      </w:r>
    </w:p>
    <w:p>
      <w:pPr>
        <w:pStyle w:val="kar_normal"/>
        <w:ind w:left="576"/>
      </w:pPr>
      <w:r>
        <w:t xml:space="preserve">(c) How the amendment conforms to the content of the authorizing statutes:</w:t>
      </w:r>
    </w:p>
    <w:p>
      <w:pPr>
        <w:pStyle w:val="kar_normal"/>
        <w:ind w:left="720"/>
      </w:pPr>
      <w:r>
        <w:t xml:space="preserve">This filing amends the current filing to conform to recent statutory changes.</w:t>
      </w:r>
    </w:p>
    <w:p>
      <w:pPr>
        <w:pStyle w:val="kar_normal"/>
        <w:ind w:left="576"/>
      </w:pPr>
      <w:r>
        <w:t xml:space="preserve">(d) How the amendment will assist in the effective administration of the statutes:</w:t>
      </w:r>
    </w:p>
    <w:p>
      <w:pPr>
        <w:pStyle w:val="kar_normal"/>
        <w:ind w:left="720"/>
      </w:pPr>
      <w:r>
        <w:t xml:space="preserve">This filing will make the regulation clearer and easier to understand.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KDA has 532 active companies and 4232 active devices currently regulated.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permit holder will need to follow the clarified steps to resume operation of a device.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changes in costs are expected with this filing.</w:t>
      </w:r>
    </w:p>
    <w:p>
      <w:pPr>
        <w:pStyle w:val="kar_normal"/>
        <w:ind w:left="576"/>
      </w:pPr>
      <w:r>
        <w:t xml:space="preserve">(c) As a result of compliance, what benefits will accrue to the entities identified in question (3):</w:t>
      </w:r>
    </w:p>
    <w:p>
      <w:pPr>
        <w:pStyle w:val="kar_normal"/>
        <w:ind w:left="720"/>
      </w:pPr>
      <w:r>
        <w:t xml:space="preserve">The permit holder will be able to lawfully operate.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KDA estimates $530,000 total annually.</w:t>
      </w:r>
    </w:p>
    <w:p>
      <w:pPr>
        <w:pStyle w:val="kar_normal"/>
        <w:ind w:left="576"/>
      </w:pPr>
      <w:r>
        <w:t xml:space="preserve">(b) On a continuing basis:</w:t>
      </w:r>
    </w:p>
    <w:p>
      <w:pPr>
        <w:pStyle w:val="kar_normal"/>
        <w:ind w:left="720"/>
      </w:pPr>
      <w:r>
        <w:t xml:space="preserve">The KDA estimates at least $530,000 total annually.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 combination of fees and the KDA 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fees are established in this filing.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filing does not establish fees.</w:t>
      </w:r>
    </w:p>
    <w:p>
      <w:pPr>
        <w:pStyle w:val="kar_normal"/>
        <w:ind w:left="288"/>
      </w:pPr>
      <w:r>
        <w:t xml:space="preserve">(9) TIERING: Is tiering applied?</w:t>
      </w:r>
    </w:p>
    <w:p>
      <w:pPr>
        <w:pStyle w:val="kar_normal"/>
        <w:ind w:left="432"/>
      </w:pPr>
      <w:r>
        <w:t xml:space="preserve">No, all entities are treated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KDA.</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247.232-.236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KDA expects to receive $110,000 annually at current participation levels.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KDA expects to receive $110,000 annually at current participation levels.</w:t>
      </w:r>
    </w:p>
    <w:p>
      <w:pPr>
        <w:pStyle w:val="kar_normal"/>
        <w:ind w:left="576"/>
      </w:pPr>
      <w:r>
        <w:t xml:space="preserve">(c) How much will it cost to administer this program for the first year?</w:t>
      </w:r>
    </w:p>
    <w:p>
      <w:pPr>
        <w:pStyle w:val="kar_normal"/>
        <w:ind w:left="720"/>
      </w:pPr>
      <w:r>
        <w:t xml:space="preserve">The cost to administer this regulation is approximately $530,000.</w:t>
      </w:r>
    </w:p>
    <w:p>
      <w:pPr>
        <w:pStyle w:val="kar_normal"/>
        <w:ind w:left="576"/>
      </w:pPr>
      <w:r>
        <w:t xml:space="preserve">(d) How much will it cost to administer this program for subsequent years?</w:t>
      </w:r>
    </w:p>
    <w:p>
      <w:pPr>
        <w:pStyle w:val="kar_normal"/>
        <w:ind w:left="720"/>
      </w:pPr>
      <w:r>
        <w:t xml:space="preserve">The cost to administer for subsequent years is estimated to be at least $530,000.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 for this filing.</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 for this filing.</w:t>
      </w:r>
    </w:p>
    <w:p>
      <w:pPr>
        <w:pStyle w:val="kar_normal"/>
        <w:ind w:left="576"/>
      </w:pPr>
      <w:r>
        <w:t xml:space="preserve">(c) How much will it cost the regulated entities for the first year?</w:t>
      </w:r>
    </w:p>
    <w:p>
      <w:pPr>
        <w:pStyle w:val="kar_normal"/>
        <w:ind w:left="720"/>
      </w:pPr>
      <w:r>
        <w:t xml:space="preserve">No changes in costs are anticipated.</w:t>
      </w:r>
    </w:p>
    <w:p>
      <w:pPr>
        <w:pStyle w:val="kar_normal"/>
        <w:ind w:left="576"/>
      </w:pPr>
      <w:r>
        <w:t xml:space="preserve">(d) How much will it cost the regulated entities for subsequent years?</w:t>
      </w:r>
    </w:p>
    <w:p>
      <w:pPr>
        <w:pStyle w:val="kar_normal"/>
        <w:ind w:left="720"/>
      </w:pPr>
      <w:r>
        <w:t xml:space="preserve">No changes in costs are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Fees will not exceed the major economic impact threshold.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b5576ce31446fe" /><Relationship Type="http://schemas.openxmlformats.org/officeDocument/2006/relationships/settings" Target="/word/settings.xml" Id="Reae2101f7dc64690" /></Relationships>
</file>