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eb730721684fee"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15A.200-15A.245,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p>
        </w:tc>
        <w:tc>
          <w:tcPr/>
          <w:p>
            <w:pPr>
              <w:pStyle w:val="kar_table_cell"/>
            </w:pPr>
          </w:p>
        </w:tc>
      </w:tr>
      <w:tr>
        <w:tc>
          <w:tcPr/>
          <w:p>
            <w:pPr>
              <w:pStyle w:val="kar_table_cell"/>
            </w:pPr>
            <w:r>
              <w:t xml:space="preserve">712</w:t>
            </w:r>
          </w:p>
        </w:tc>
        <w:tc>
          <w:tcPr/>
          <w:p>
            <w:pPr>
              <w:pStyle w:val="kar_table_cell"/>
            </w:pPr>
            <w:r>
              <w:t xml:space="preserve">Escape/AWOL (Amended 06/13/23)</w:t>
            </w:r>
          </w:p>
        </w:tc>
      </w:tr>
      <w:tr>
        <w:tc>
          <w:tcPr/>
          <w:p>
            <w:pPr>
              <w:pStyle w:val="kar_table_cell"/>
            </w:pPr>
          </w:p>
        </w:tc>
        <w:tc>
          <w:tcPr/>
          <w:p>
            <w:pPr>
              <w:pStyle w:val="kar_table_cell"/>
            </w:pP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06/13/23)</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857; 1270; eff. 11-12-2002; 30 Ky.R. 1829; eff. 3-18-2004; 32 Ky.R. 538; eff. 2-3-2006; 45 Ky.R. 369; eff. 10-5-2018; 49 Ky.R. 1670, 2320; 50 Ky.R. 40; eff. 9-21-2023.)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b54232312d470b" /><Relationship Type="http://schemas.openxmlformats.org/officeDocument/2006/relationships/settings" Target="/word/settings.xml" Id="R713183b91b7148fc" /></Relationships>
</file>