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21ae6a154814860" /></Relationships>
</file>

<file path=word/document.xml><?xml version="1.0" encoding="utf-8"?>
<w:document xmlns:w="http://schemas.openxmlformats.org/wordprocessingml/2006/main">
  <w:body>
    <w:p>
      <w:pPr>
        <w:pStyle w:val="kar_citation"/>
      </w:pPr>
      <w:r>
        <w:t>32 KAR 2:221.</w:t>
      </w:r>
      <w:r>
        <w:t xml:space="preserve"> </w:t>
      </w:r>
      <w:r>
        <w:t xml:space="preserve">Repeal of 32 KAR 2:220.</w:t>
      </w:r>
    </w:p>
    <w:p>
      <w:pPr>
        <w:pStyle w:val="kar_markup_metadata"/>
      </w:pPr>
      <w:r>
        <w:t xml:space="preserve">RELATES TO: </w:t>
      </w:r>
      <w:r>
        <w:t xml:space="preserve">KRS 121.015(13), 121.120(6), 121.180</w:t>
      </w:r>
    </w:p>
    <w:p>
      <w:pPr>
        <w:pStyle w:val="kar_markup_metadata"/>
      </w:pPr>
      <w:r>
        <w:t xml:space="preserve">STATUTORY AUTHORITY: </w:t>
      </w:r>
      <w:r>
        <w:t xml:space="preserve">KRS 121.120(1)(g), 121.120(6)</w:t>
      </w:r>
    </w:p>
    <w:p>
      <w:pPr>
        <w:pStyle w:val="kar_markup_metadata"/>
      </w:pPr>
      <w:r>
        <w:t xml:space="preserve">NECESSITY, FUNCTION, AND CONFORMITY: </w:t>
      </w:r>
      <w:r>
        <w:t xml:space="preserve">KRS 121.120(1)(g) grants the Registry the authority to promulgate administrative regulations necessary to carry out the provisions of KRS Chapter 121. KRS 121.120(4) requires the Registry to promulgate administrative regulations and prescribe forms for the making of reports under KRS Chapter 121. KRS 121.120(6)(i) requires all candidates, committees, and contributing organizations to make all campaign finance reports electronically. The registry must repeal administrative regulation 32 KAR 2:220 because the process it describes for electronic reporting and testing of the compliance of electronic files reflects the procedures necessary under a previous electronic filing procedure that has not been in use since 2020.</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1.</w:t>
      </w:r>
      <w:r>
        <w:t xml:space="preserve"> </w:t>
      </w:r>
      <w:r>
        <w:t xml:space="preserve">32 KAR 2:220, Electronic reporting file format and test file compliance procedure, is hereby repealed.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764b8eda1d4aa9" /><Relationship Type="http://schemas.openxmlformats.org/officeDocument/2006/relationships/settings" Target="/word/settings.xml" Id="Ra03f0f26c662404f" /></Relationships>
</file>