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61ed1097df4d95" /></Relationships>
</file>

<file path=word/document.xml><?xml version="1.0" encoding="utf-8"?>
<w:document xmlns:w="http://schemas.openxmlformats.org/wordprocessingml/2006/main">
  <w:body>
    <w:p>
      <w:pPr>
        <w:pStyle w:val="kar_citation"/>
      </w:pPr>
      <w:r>
        <w:t>809 KAR 10:004.</w:t>
      </w:r>
      <w:r>
        <w:t xml:space="preserve"> </w:t>
      </w:r>
      <w:r>
        <w:t xml:space="preserve">Sports wagering accounts.</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230.361(2) requires the commission to "promulgate administrative regulations governing and regulating sports wagering, including administrative regulations for the deposit of funds by credit or debit cards or other means of electronic funds transfer." KRS 230.805(3) establishes additional requirements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commission.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which indicates that they are an underage person; and</w:t>
      </w:r>
    </w:p>
    <w:p>
      <w:pPr>
        <w:pStyle w:val="kar_paragraph"/>
      </w:pPr>
      <w:r>
        <w:t xml:space="preserve">(b)</w:t>
      </w:r>
      <w:r>
        <w:t xml:space="preserve"> </w:t>
      </w:r>
      <w:r>
        <w:t xml:space="preserve">Inform the patron on the account application which information fields are "required," which are not, and what will be 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they are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may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commission;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the following 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indicated in subsection (2) of this section to register an account holder and create the account;</w:t>
      </w:r>
    </w:p>
    <w:p>
      <w:pPr>
        <w:pStyle w:val="kar_paragraph"/>
      </w:pPr>
      <w:r>
        <w:t xml:space="preserve">(c)</w:t>
      </w:r>
      <w:r>
        <w:t xml:space="preserve"> </w:t>
      </w:r>
      <w:r>
        <w:t xml:space="preserve">The date and method of identity verification:</w:t>
      </w:r>
    </w:p>
    <w:p>
      <w:pPr>
        <w:pStyle w:val="kar_subparagraph"/>
      </w:pPr>
      <w:r>
        <w:t xml:space="preserve">1.</w:t>
      </w:r>
      <w:r>
        <w:t xml:space="preserve"> </w:t>
      </w:r>
      <w:r>
        <w:t xml:space="preserve">Where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(e.g., active, dormant, closed, suspended, 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portion(s) thereof;</w:t>
      </w:r>
    </w:p>
    <w:p>
      <w:pPr>
        <w:pStyle w:val="kar_paragraph"/>
      </w:pPr>
      <w:r>
        <w:t xml:space="preserve">(b)</w:t>
      </w:r>
      <w:r>
        <w:t xml:space="preserve"> </w:t>
      </w:r>
      <w:r>
        <w:t xml:space="preserve">The account holder's previous and current password(s), PIN(s), or other authentication credential(s); and</w:t>
      </w:r>
    </w:p>
    <w:p>
      <w:pPr>
        <w:pStyle w:val="kar_paragraph"/>
      </w:pPr>
      <w:r>
        <w:t xml:space="preserve">(c)</w:t>
      </w:r>
      <w:r>
        <w:t xml:space="preserve"> </w:t>
      </w:r>
      <w:r>
        <w:t xml:space="preserve">The account holder's previous and current debit instrument number(s), credit or debit card number(s), bank account number(s)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 such an account even if they are prohibited from placing certain wagers.</w:t>
      </w:r>
    </w:p>
    <w:p>
      <w:pPr>
        <w:pStyle w:val="kar_subsection"/>
      </w:pPr>
      <w:r>
        <w:t xml:space="preserve">(2)</w:t>
      </w:r>
      <w:r>
        <w:t xml:space="preserve"> </w:t>
      </w:r>
      <w:r>
        <w:t xml:space="preserve">At the time of account establishment, the licensee shall employ electronic verification with respect to the following:</w:t>
      </w:r>
    </w:p>
    <w:p>
      <w:pPr>
        <w:pStyle w:val="kar_paragraph"/>
      </w:pPr>
      <w:r>
        <w:t xml:space="preserve">(a)</w:t>
      </w:r>
      <w:r>
        <w:t xml:space="preserve"> </w:t>
      </w:r>
      <w:r>
        <w:t xml:space="preserve">All information required by KRS 230.805, and</w:t>
      </w:r>
    </w:p>
    <w:p>
      <w:pPr>
        <w:pStyle w:val="kar_paragraph"/>
      </w:pPr>
      <w:r>
        <w:t xml:space="preserve">(b)</w:t>
      </w:r>
      <w:r>
        <w:t xml:space="preserve"> </w:t>
      </w:r>
      <w:r>
        <w:t xml:space="preserve">Each account holder's government identification number or portion(s) thereof.</w:t>
      </w:r>
    </w:p>
    <w:p>
      <w:pPr>
        <w:pStyle w:val="kar_subsection"/>
      </w:pPr>
      <w:r>
        <w:t xml:space="preserve">(3)</w:t>
      </w:r>
      <w:r>
        <w:t xml:space="preserve"> </w:t>
      </w:r>
      <w:r>
        <w:t xml:space="preserve">The electronic verification information shall be verified by a commission-approved independent reference company, or through an alternative process approved by the commission.</w:t>
      </w:r>
    </w:p>
    <w:p>
      <w:pPr>
        <w:pStyle w:val="kar_subsection"/>
      </w:pPr>
      <w:r>
        <w:t xml:space="preserve">(4)</w:t>
      </w:r>
      <w:r>
        <w:t xml:space="preserve"> </w:t>
      </w:r>
      <w:r>
        <w:t xml:space="preserve">The following data shall be verified before account holders can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portion(s) thereof.</w:t>
      </w:r>
    </w:p>
    <w:p>
      <w:pPr>
        <w:pStyle w:val="kar_paragraph"/>
      </w:pPr>
      <w:r>
        <w:t xml:space="preserve">(b)</w:t>
      </w:r>
      <w:r>
        <w:t xml:space="preserve"> </w:t>
      </w:r>
      <w:r>
        <w:t xml:space="preserve">Items that permit flexible match for common interpretations of names and abbreviations used in the address fields:</w:t>
      </w:r>
    </w:p>
    <w:p>
      <w:pPr>
        <w:pStyle w:val="kar_subparagraph"/>
      </w:pPr>
      <w:r>
        <w:t xml:space="preserve">1.</w:t>
      </w:r>
      <w:r>
        <w:t xml:space="preserve"> </w:t>
      </w:r>
      <w:r>
        <w:t xml:space="preserve">The account holder's first name; and</w:t>
      </w:r>
    </w:p>
    <w:p>
      <w:pPr>
        <w:pStyle w:val="kar_subparagraph"/>
      </w:pPr>
      <w:r>
        <w:t xml:space="preserve">2.</w:t>
      </w:r>
      <w:r>
        <w:t xml:space="preserve"> </w:t>
      </w:r>
      <w:r>
        <w:t xml:space="preserve">The account holder's principal residential address.</w:t>
      </w:r>
    </w:p>
    <w:p>
      <w:pPr>
        <w:pStyle w:val="kar_subsection"/>
      </w:pPr>
      <w:r>
        <w:t xml:space="preserve">(5)</w:t>
      </w:r>
      <w:r>
        <w:t xml:space="preserve"> </w:t>
      </w:r>
      <w:r>
        <w:t xml:space="preserve">Reasonable measures shall be taken to ensure the person providing identity information is truly the owner of the identity before an account holder can initiate any activity including deposits, withdrawals, and wagering. One (1) of the following methods, or another method approved by the racing commission, is required:</w:t>
      </w:r>
    </w:p>
    <w:p>
      <w:pPr>
        <w:pStyle w:val="kar_paragraph"/>
      </w:pPr>
      <w:r>
        <w:t xml:space="preserve">(a)</w:t>
      </w:r>
      <w:r>
        <w:t xml:space="preserve"> </w:t>
      </w:r>
      <w:r>
        <w:t xml:space="preserve">Correctly answer three dynamic knowledge-based questions compiled from public and private data such as public records, credit reports, marketing data and other recorded facts;</w:t>
      </w:r>
    </w:p>
    <w:p>
      <w:pPr>
        <w:pStyle w:val="kar_paragraph"/>
      </w:pPr>
      <w:r>
        <w:t xml:space="preserve">(b)</w:t>
      </w:r>
      <w:r>
        <w:t xml:space="preserve"> </w:t>
      </w:r>
      <w:r>
        <w:t xml:space="preserve">Verification that the account holder's phone number or e-mail address match the information provided by the account holder; or</w:t>
      </w:r>
    </w:p>
    <w:p>
      <w:pPr>
        <w:pStyle w:val="kar_paragraph"/>
      </w:pPr>
      <w:r>
        <w:t xml:space="preserve">(c)</w:t>
      </w:r>
      <w:r>
        <w:t xml:space="preserve"> </w:t>
      </w:r>
      <w:r>
        <w:t xml:space="preserve">Valid government issued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periodically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 xml:space="preserve">Such procedures may allow an account holder that establishes or seeks to establish more than one (1) username or more than one (1) account to retain one (1) account provided that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included in the internal controls of the licensee and shall be readily accessible to the account holder before and after registration and noticed when materially updated.</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can participate in sports wagering;</w:t>
      </w:r>
    </w:p>
    <w:p>
      <w:pPr>
        <w:pStyle w:val="kar_paragraph"/>
      </w:pPr>
      <w:r>
        <w:t xml:space="preserve">(b)</w:t>
      </w:r>
      <w:r>
        <w:t xml:space="preserve"> </w:t>
      </w:r>
      <w:r>
        <w:t xml:space="preserve">A statement that prohibited patrons are prohibited from participating in sports wagering;</w:t>
      </w:r>
    </w:p>
    <w:p>
      <w:pPr>
        <w:pStyle w:val="kar_paragraph"/>
      </w:pPr>
      <w:r>
        <w:t xml:space="preserve">(c)</w:t>
      </w:r>
      <w:r>
        <w:t xml:space="preserve"> </w:t>
      </w:r>
      <w:r>
        <w:t xml:space="preserve">Advice to the account holder to keep their authentication credentials (e.g., password and username) secure;</w:t>
      </w:r>
    </w:p>
    <w:p>
      <w:pPr>
        <w:pStyle w:val="kar_paragraph"/>
      </w:pPr>
      <w:r>
        <w:t xml:space="preserve">(d)</w:t>
      </w:r>
      <w:r>
        <w:t xml:space="preserve"> </w:t>
      </w:r>
      <w:r>
        <w:t xml:space="preserve">All processes for dealing with lost authentication credentials, forced password changes, password strength and other related items as required by the racing commission;</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has access to the sports wagering account. Allowable authentication credentials are subject to the discretion of the racing commission as necessary. The requirement does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which prompts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when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 and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which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racing commission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w:t>
      </w:r>
    </w:p>
    <w:p>
      <w:pPr>
        <w:pStyle w:val="kar_subparagraph"/>
      </w:pPr>
      <w:r>
        <w:t xml:space="preserve">6.</w:t>
      </w:r>
      <w:r>
        <w:t xml:space="preserve"> </w:t>
      </w:r>
      <w:r>
        <w:t xml:space="preserve">Adjustments made by the licensee with documented notification to the account holder; and</w:t>
      </w:r>
    </w:p>
    <w:p>
      <w:pPr>
        <w:pStyle w:val="kar_subparagraph"/>
      </w:pPr>
      <w:r>
        <w:t xml:space="preserve">7.</w:t>
      </w:r>
      <w:r>
        <w:t xml:space="preserve"> </w:t>
      </w:r>
      <w:r>
        <w:t xml:space="preserve">Any other form of payment authorized by the commission.</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racing commission.</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t xml:space="preserve">Where financial transactions are conducted through EFT, the licensee shall have security measures and controls to prevent EFT fraud. A failed EFT attempt is not considered fraudulent if the account holder has successfully performed an EFT on a previous occasion with no outstanding chargebacks. Otherwise, the licensee shall do the following:</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shall be allowed to withdraw the funds maintained in their sports wagering account, whether the account is open or closed, except as otherwise provided in these regulations,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the act and these regulations. In such cases, the licensee shall do the following:</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its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is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periodically reviewed by supervisory personnel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 and monthly basis and shall specify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 and monthly basis and shall specify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(e.g., next login, next day) that was clearly indicated to the account holder. Any increase to these limits shall become effective only after the time period of the previous limit (e.g., day, week, month, etc.) has expired and the account holder reaffirms the requested increase.</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such site; and</w:t>
      </w:r>
    </w:p>
    <w:p>
      <w:pPr>
        <w:pStyle w:val="kar_paragraph"/>
      </w:pPr>
      <w:r>
        <w:t xml:space="preserve">(e)</w:t>
      </w:r>
      <w:r>
        <w:t xml:space="preserve"> </w:t>
      </w:r>
      <w:r>
        <w:t xml:space="preserve">How the licensee addresses bonuses or promotions and account balances during and after the break, and when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 under any of the following conditions:</w:t>
      </w:r>
    </w:p>
    <w:p>
      <w:pPr>
        <w:pStyle w:val="kar_paragraph"/>
      </w:pPr>
      <w:r>
        <w:t xml:space="preserve">(a)</w:t>
      </w:r>
      <w:r>
        <w:t xml:space="preserve"> </w:t>
      </w:r>
      <w:r>
        <w:t xml:space="preserve">When the account holder requests a break from wagering under subsection (1) of this section;</w:t>
      </w:r>
    </w:p>
    <w:p>
      <w:pPr>
        <w:pStyle w:val="kar_paragraph"/>
      </w:pPr>
      <w:r>
        <w:t xml:space="preserve">(b)</w:t>
      </w:r>
      <w:r>
        <w:t xml:space="preserve"> </w:t>
      </w:r>
      <w:r>
        <w:t xml:space="preserve">When required by the racing commission;</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t xml:space="preserve">When the licensee has evidence that indicates any of the following:</w:t>
      </w:r>
    </w:p>
    <w:p>
      <w:pPr>
        <w:pStyle w:val="kar_subparagraph"/>
      </w:pPr>
      <w:r>
        <w:t xml:space="preserve">1.</w:t>
      </w:r>
      <w:r>
        <w:t xml:space="preserve"> </w:t>
      </w:r>
      <w:r>
        <w:t xml:space="preserve">Illegal activity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t xml:space="preserve">When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reason(s)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 for any of the following reasons:</w:t>
      </w:r>
    </w:p>
    <w:p>
      <w:pPr>
        <w:pStyle w:val="kar_paragraph"/>
      </w:pPr>
      <w:r>
        <w:t xml:space="preserve">(a)</w:t>
      </w:r>
      <w:r>
        <w:t xml:space="preserve"> </w:t>
      </w:r>
      <w:r>
        <w:t xml:space="preserve">Upon completion of the break from wagering established by the account holder under subsection (1) of this section;</w:t>
      </w:r>
    </w:p>
    <w:p>
      <w:pPr>
        <w:pStyle w:val="kar_paragraph"/>
      </w:pPr>
      <w:r>
        <w:t xml:space="preserve">(b)</w:t>
      </w:r>
      <w:r>
        <w:t xml:space="preserve"> </w:t>
      </w:r>
      <w:r>
        <w:t xml:space="preserve">If authorized by the racing commission;</w:t>
      </w:r>
    </w:p>
    <w:p>
      <w:pPr>
        <w:pStyle w:val="kar_paragraph"/>
      </w:pPr>
      <w:r>
        <w:t xml:space="preserve">(c)</w:t>
      </w:r>
      <w:r>
        <w:t xml:space="preserve"> </w:t>
      </w:r>
      <w:r>
        <w:t xml:space="preserve">When the account holder is no longer a prohibited patron; or</w:t>
      </w:r>
    </w:p>
    <w:p>
      <w:pPr>
        <w:pStyle w:val="kar_paragraph"/>
      </w:pPr>
      <w:r>
        <w:t xml:space="preserve">(d)</w:t>
      </w:r>
      <w:r>
        <w:t xml:space="preserve"> </w:t>
      </w:r>
      <w:r>
        <w:t xml:space="preserve">When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provided that the licensee acknowledges that the funds have cleared, and that the reason(s)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provided that the licensee acknowledges that the funds have cleared and no racing commission investigation regarding the funds is pending.</w:t>
      </w:r>
    </w:p>
    <w:p>
      <w:pPr>
        <w:pStyle w:val="kar_section"/>
      </w:pPr>
      <w:r>
        <w:t xml:space="preserve">Section 12.</w:t>
      </w:r>
      <w:r>
        <w:t xml:space="preserve"> </w:t>
      </w:r>
      <w:r>
        <w:t xml:space="preserve">Dormant Accounts. Any sports wagering account with no log-in activity for at least three (3) years may be closed. when a sports wagering account is closed, the licensee shall issue any funds, less processing fees, within five (5) business days to the account holder's last-known address.</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 following:</w:t>
      </w:r>
    </w:p>
    <w:p>
      <w:pPr>
        <w:pStyle w:val="kar_subsection"/>
      </w:pPr>
      <w:r>
        <w:t xml:space="preserve">(1)</w:t>
      </w:r>
      <w:r>
        <w:t xml:space="preserve"> </w:t>
      </w:r>
      <w:r>
        <w:t xml:space="preserve">The procedures for issuing funds used for testing, including the identification of who may issue the funds and the maximum amount of funds that may be issued;</w:t>
      </w:r>
    </w:p>
    <w:p>
      <w:pPr>
        <w:pStyle w:val="kar_subsection"/>
      </w:pPr>
      <w:r>
        <w:t xml:space="preserve">(2)</w:t>
      </w:r>
      <w:r>
        <w:t xml:space="preserve"> </w:t>
      </w:r>
      <w:r>
        <w:t xml:space="preserve">The procedures for assigning each test account for use by only one (1) individual, unless each user's activities are separately logged;</w:t>
      </w:r>
    </w:p>
    <w:p>
      <w:pPr>
        <w:pStyle w:val="kar_subsection"/>
      </w:pPr>
      <w:r>
        <w:t xml:space="preserve">(3)</w:t>
      </w:r>
      <w:r>
        <w:t xml:space="preserve"> </w:t>
      </w:r>
      <w:r>
        <w:t xml:space="preserve">The maintenance of a record for all test accounts, to include when they are active, to whom they are issued, and the employer of the individual to whom they are issued;</w:t>
      </w:r>
    </w:p>
    <w:p>
      <w:pPr>
        <w:pStyle w:val="kar_subsection"/>
      </w:pPr>
      <w:r>
        <w:t xml:space="preserve">(4)</w:t>
      </w:r>
      <w:r>
        <w:t xml:space="preserve"> </w:t>
      </w:r>
      <w:r>
        <w:t xml:space="preserve">The procedures for auditing testing activity by the licensee to ensure the accountability of funds used for testing and proper adjustments to adjusted gross revenue;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procedures for authorizing and auditing out-of-state test activity.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819459f2f4dd3" /><Relationship Type="http://schemas.openxmlformats.org/officeDocument/2006/relationships/settings" Target="/word/settings.xml" Id="R174fadac1bc64590" /></Relationships>
</file>