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e5594f713f491e"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A minimum acceptable published workout time for a quarter horse is 220 yards at 14.00 seconds.</w:t>
      </w:r>
    </w:p>
    <w:p>
      <w:pPr>
        <w:pStyle w:val="kar_paragraph"/>
      </w:pPr>
      <w:r>
        <w:t xml:space="preserve">(h)</w:t>
      </w:r>
      <w:r>
        <w:t xml:space="preserve"> </w:t>
      </w:r>
      <w:r>
        <w:t xml:space="preserve">Quarter horses that have never raced around the turn shall have completed at least one (1) workout at 660 yards or further within thirty (30) days prior to entry.</w:t>
      </w:r>
    </w:p>
    <w:p>
      <w:pPr>
        <w:pStyle w:val="kar_paragraph"/>
      </w:pPr>
      <w:r>
        <w:t xml:space="preserve">(i)</w:t>
      </w:r>
      <w:r>
        <w:t xml:space="preserve"> </w:t>
      </w:r>
      <w:r>
        <w:t xml:space="preserve">Quarter horses that have previously started in a race around the turn, but have not started in such a race within sixty (60) days, shall complete at least one (1) workout at 660 yards or farther within thirty (30) day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Quarter horses shall submit negative hair samples as a condition of entry. In addition, all quarter horses shall submit to out-of-competition testing governed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Quarter horses that gain a position in the race from the also eligible list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b9288617d6475d" /><Relationship Type="http://schemas.openxmlformats.org/officeDocument/2006/relationships/settings" Target="/word/settings.xml" Id="R76ec346d1e904e42" /></Relationships>
</file>