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90c060d27b4df3" /></Relationships>
</file>

<file path=word/document.xml><?xml version="1.0" encoding="utf-8"?>
<w:document xmlns:w="http://schemas.openxmlformats.org/wordprocessingml/2006/main">
  <w:body>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161.027, 161.028(1)(k), (s), (t), 161.030(11), 161.048, 161.1211, 34 C.F.R. 300.156 (c)(2)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 for teachers of exceptional children or interdisciplinary early childhood education employed in a public school,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 </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 xml:space="preserve">(2)</w:t>
      </w:r>
      <w:r>
        <w:t xml:space="preserve"> </w:t>
      </w:r>
      <w:r>
        <w:t xml:space="preserve">If a candidate is required to complete an internship in accordance with KRS 161.030, the candidate shall complete the required assessments as established in 16 KAR 6:010 prior to issuance of the final temporary provisional certificate and shall complete the internship during the final temporary provisional certificate.</w:t>
      </w:r>
    </w:p>
    <w:p>
      <w:pPr>
        <w:pStyle w:val="kar_subsection"/>
      </w:pPr>
      <w:r>
        <w:t xml:space="preserve">(3)</w:t>
      </w:r>
      <w:r>
        <w:t xml:space="preserve"> </w:t>
      </w:r>
      <w:r>
        <w:t xml:space="preserve">A candidate for exceptional children or interdisciplinary early childhood certification employed in a public school may only renew the temporary provisional certificate two (2) times.</w:t>
      </w:r>
    </w:p>
    <w:p>
      <w:pPr>
        <w:pStyle w:val="kar_subsection"/>
      </w:pPr>
      <w:r>
        <w:t xml:space="preserve">(4)</w:t>
      </w:r>
      <w:r>
        <w:t xml:space="preserve"> </w:t>
      </w:r>
      <w:r>
        <w:t xml:space="preserve">All other alternative certification teacher candidates may renew the temporary provisional certificate four (4) times. </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 candidate shall complete the required assessments as established in 16 KAR 3:090 prior to renewal of the temporary provisional certificate and shall complete the internship during the final temporary provisional certificate. </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3567; 34 Ky.R. 10; eff. 7-19-2007; 40 Ky.R. 623; 1012; eff. 12-6-2013; 41 Ky.R. 295; 736; eff. 10-31-2014; Cert. eff. 10-29-2021; 49 Ky.R. 2334, 50 Ky.R. 618;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d31c0e6b3440e" /><Relationship Type="http://schemas.openxmlformats.org/officeDocument/2006/relationships/settings" Target="/word/settings.xml" Id="Rb32096633cc448b0" /></Relationships>
</file>