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4cf29d17ce458a" /></Relationships>
</file>

<file path=word/document.xml><?xml version="1.0" encoding="utf-8"?>
<w:document xmlns:w="http://schemas.openxmlformats.org/wordprocessingml/2006/main">
  <w:body>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that form.</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ninety (90) days before a primary or general election, or ten (10) days after a proclamation is issued under KRS 118.710 or 118.720, or a writ of election is issued under KRS 118.730.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 scalable to a sheet of 8.5 in. x 11 in.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08/2023,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e01dc0c8374806" /><Relationship Type="http://schemas.openxmlformats.org/officeDocument/2006/relationships/settings" Target="/word/settings.xml" Id="Rdb0c37768b1a4b0d" /></Relationships>
</file>