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86295ef8314d32"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NECESSITY, FUNCTION, AND CONFORMITY: </w:t>
      </w:r>
      <w:r>
        <w:t xml:space="preserve">KRS 230.215 and 230.260 authorize the commission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 "Kentucky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 "Mare" means a broodmare, donor mare, or recipient mare.</w:t>
      </w:r>
    </w:p>
    <w:p>
      <w:pPr>
        <w:pStyle w:val="kar_subsection"/>
      </w:pPr>
      <w:r>
        <w:t xml:space="preserve">(6)</w:t>
      </w:r>
      <w:r>
        <w:t xml:space="preserve"> </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one (1):</w:t>
      </w:r>
    </w:p>
    <w:p>
      <w:pPr>
        <w:pStyle w:val="kar_subsection"/>
      </w:pPr>
      <w:r>
        <w:t xml:space="preserve">(1)</w:t>
      </w:r>
      <w:r>
        <w:t xml:space="preserve"> </w:t>
      </w:r>
      <w:r>
        <w:t xml:space="preserve">Member of the commission;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and;</w:t>
      </w:r>
    </w:p>
    <w:p>
      <w:pPr>
        <w:pStyle w:val="kar_paragraph"/>
      </w:pPr>
      <w:r>
        <w:t xml:space="preserve">(b)</w:t>
      </w:r>
      <w:r>
        <w:t xml:space="preserve"> </w:t>
      </w:r>
      <w:r>
        <w:t xml:space="preserve">Providing the commission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commission, pursuant to KRS 230.445.</w:t>
      </w:r>
    </w:p>
    <w:p>
      <w:pPr>
        <w:pStyle w:val="kar_subsection"/>
      </w:pPr>
      <w:r>
        <w:t xml:space="preserve">(2)</w:t>
      </w:r>
      <w:r>
        <w:t xml:space="preserve"> </w:t>
      </w:r>
      <w:r>
        <w:t xml:space="preserve">In allocating, the commission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commission-approved proposal to the contrary, the proposed purse structure shall not exceed the total dollars generated by that breed to the association's fund account. 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04/2023;</w:t>
      </w:r>
    </w:p>
    <w:p>
      <w:pPr>
        <w:pStyle w:val="kar_paragraph"/>
      </w:pPr>
      <w:r>
        <w:t xml:space="preserve">(b)</w:t>
      </w:r>
      <w:r>
        <w:t xml:space="preserve"> </w:t>
      </w:r>
      <w:r>
        <w:t xml:space="preserve">"Kentucky Quarter Horse, Paint Horse, Appaloosa, and Arabian Development Fund Nomination Form", KHRC 7-060-2, 04/2023; and</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1989; 3161; eff. 5-31-2019; 49 Ky.R. 2381, 50 Ky.R. 668;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ebb74a2b54dd0" /><Relationship Type="http://schemas.openxmlformats.org/officeDocument/2006/relationships/settings" Target="/word/settings.xml" Id="R72f7705fb6dd45a0" /></Relationships>
</file>