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1404ea4ccf4186" /></Relationships>
</file>

<file path=word/document.xml><?xml version="1.0" encoding="utf-8"?>
<w:document xmlns:w="http://schemas.openxmlformats.org/wordprocessingml/2006/main">
  <w:body>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established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 containing the projection scale AA, using the methodology established in Section 4(3)(j) of this administrative regulation.</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 xml:space="preserve">Completed by plan, with subtotals by mortality table, interest assumption, and valuation method that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provide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numerical order with the necessary documentation, lists, tabulations, and working papers for policy contract obligations to be valued, which shall be in readily accessible and auditable form at the domestic insurer's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shall question and may reject any valuation made by the insurance supervisory official of another state that does not comply with the minimum standards as established in KRS Chapter 304.6.</w:t>
      </w:r>
    </w:p>
    <w:p>
      <w:pPr>
        <w:pStyle w:val="kar_subsection"/>
      </w:pPr>
      <w:r>
        <w:t xml:space="preserve">(2)</w:t>
      </w:r>
      <w:r>
        <w:t xml:space="preserve"> </w:t>
      </w:r>
      <w:r>
        <w:t xml:space="preserve">Nature of liabilities.</w:t>
      </w:r>
    </w:p>
    <w:p>
      <w:pPr>
        <w:pStyle w:val="kar_paragraph"/>
      </w:pPr>
      <w: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established in KRS 304.6-140 through 304.6-180, shall be established in prospective terms.</w:t>
      </w:r>
    </w:p>
    <w:p>
      <w:pPr>
        <w:pStyle w:val="kar_paragraph"/>
      </w:pPr>
      <w:r>
        <w:t xml:space="preserve">(b)</w:t>
      </w:r>
      <w:r>
        <w:t xml:space="preserve"> </w:t>
      </w:r>
      <w:r>
        <w:t xml:space="preserve"> </w:t>
      </w:r>
    </w:p>
    <w:p>
      <w:pPr>
        <w:pStyle w:val="kar_subparagraph"/>
      </w:pPr>
      <w:r>
        <w:t xml:space="preserve">1.</w:t>
      </w:r>
      <w:r>
        <w:t xml:space="preserve"> </w:t>
      </w:r>
      <w:r>
        <w:t xml:space="preserve">If the methods established in paragraph (a) of this subsection are not possible to apply directly, retrospective methods, using accumulations at appropriate rates of interest may be used.</w:t>
      </w:r>
    </w:p>
    <w:p>
      <w:pPr>
        <w:pStyle w:val="kar_subparagraph"/>
      </w:pPr>
      <w:r>
        <w:t xml:space="preserve">2.</w:t>
      </w:r>
      <w:r>
        <w:t xml:space="preserve"> </w:t>
      </w:r>
      <w:r>
        <w:t xml:space="preserve"> A company using these methods shall be prepared to demonstrate that these methods result in sufficient amounts to fund any obligations established in its contracts as guarantees of future performance.</w:t>
      </w:r>
    </w:p>
    <w:p>
      <w:pPr>
        <w:pStyle w:val="kar_subparagraph"/>
      </w:pPr>
      <w:r>
        <w:t xml:space="preserve">3.</w:t>
      </w:r>
      <w:r>
        <w:t xml:space="preserve"> </w:t>
      </w:r>
      <w:r>
        <w:t xml:space="preserve">Obligations that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shall be for the period ending June 30 for each calendar year.</w:t>
      </w:r>
    </w:p>
    <w:p>
      <w:pPr>
        <w:pStyle w:val="kar_subsection"/>
      </w:pPr>
      <w:r>
        <w:t xml:space="preserve">(2)</w:t>
      </w:r>
      <w:r>
        <w:t xml:space="preserve"> </w:t>
      </w:r>
      <w:r>
        <w:t xml:space="preserve">The actuarial guidelines shall be used, except if statutorily prohibited.</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established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established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established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established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if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 such as life settlements agreed to outside of court and that do not constitute disability settlements; or</w:t>
      </w:r>
    </w:p>
    <w:p>
      <w:pPr>
        <w:pStyle w:val="kar_subparagraph"/>
      </w:pPr>
      <w:r>
        <w:t xml:space="preserve">3.</w:t>
      </w:r>
      <w:r>
        <w:t xml:space="preserve"> </w:t>
      </w:r>
      <w:r>
        <w:t xml:space="preserve">Settlements of long-term disability claims in which a temporary or life annuity has been used in lieu of continuing disability payments.</w:t>
      </w:r>
    </w:p>
    <w:p>
      <w:pPr>
        <w:pStyle w:val="kar_paragraph"/>
      </w:pPr>
      <w:r>
        <w:t xml:space="preserve">(f)</w:t>
      </w:r>
      <w:r>
        <w:t xml:space="preserve"> </w:t>
      </w:r>
      <w:r>
        <w:t xml:space="preserve">Except as established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established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t xml:space="preserve">1.</w:t>
      </w:r>
      <w:r>
        <w:t xml:space="preserve"> </w:t>
      </w:r>
      <w:r>
        <w:t xml:space="preserve">The commissioner shall give consideration to the approval of other tables of mortality that produce lower reserves in any special case, if the request for approval is accompanied by an actuarial report, signed by the qualified actuary, of the reasons for the request.</w:t>
      </w:r>
    </w:p>
    <w:p>
      <w:pPr>
        <w:pStyle w:val="kar_subparagraph"/>
      </w:pPr>
      <w: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40698514a48d450e"/>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established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e8f2bffa68b540d2"/>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If a change will produce a reserve that will be less than the amount under the old method, the company shall have the prior approval, pursuant to subsection 3(g) of this section,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established in Sections 2 and 4 of this administrative regulation, the additional burden of cost for additional time required by the staff of the Department of Insurance, or its department actuary, shall be borne by the life insurance company as established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detailed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if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addition to Section 1(17) of this administrative regulation, in 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1710; 2098; 50 Ky.R. 43; 531; 662; eff. 8-1-2023.)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95d5d711174bfa" /><Relationship Type="http://schemas.openxmlformats.org/officeDocument/2006/relationships/image" Target="/media/image.png" Id="R40698514a48d450e" /><Relationship Type="http://schemas.openxmlformats.org/officeDocument/2006/relationships/image" Target="/media/image2.png" Id="Re8f2bffa68b540d2" /><Relationship Type="http://schemas.openxmlformats.org/officeDocument/2006/relationships/settings" Target="/word/settings.xml" Id="R1d069fafaffa4c80" /></Relationships>
</file>