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58971d76b24b27" /></Relationships>
</file>

<file path=word/document.xml><?xml version="1.0" encoding="utf-8"?>
<w:document xmlns:w="http://schemas.openxmlformats.org/wordprocessingml/2006/main">
  <w:body>
    <w:p>
      <w:pPr>
        <w:pStyle w:val="kar_citation"/>
      </w:pPr>
      <w:r>
        <w:t>32 KAR 1:020.</w:t>
      </w:r>
      <w:r>
        <w:t xml:space="preserve"> </w:t>
      </w:r>
      <w:r>
        <w:t xml:space="preserve">Statement of spending intent and appointment of campaign treasurer.</w:t>
      </w:r>
    </w:p>
    <w:p>
      <w:pPr>
        <w:pStyle w:val="kar_markup_metadata"/>
      </w:pPr>
      <w:r>
        <w:t xml:space="preserve">RELATES TO: </w:t>
      </w:r>
      <w:r>
        <w:t xml:space="preserve">KRS 121.015, 121.160(1), 121.180(1)</w:t>
      </w:r>
    </w:p>
    <w:p>
      <w:pPr>
        <w:pStyle w:val="kar_markup_metadata"/>
      </w:pPr>
      <w:r>
        <w:t xml:space="preserve">STATUTORY AUTHORITY: </w:t>
      </w:r>
      <w:r>
        <w:t xml:space="preserve">KRS 121.120(1)(g), (4)</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KRS 121.015(18) defines "form" to mean an online Web page or an electronic document designed to capture, validate, and submit data for processing to the registry. KRS 121.160(1) requires candidates to designate a campaign treasurer. KRS 121.180(1) requires certain candidates to use an electronic form if requesting an exemption from reporting to the Registry when they file for office. This administrative regulation establishes the Web page from which candidates designate their treasurers and state their spending intents.</w:t>
      </w:r>
    </w:p>
    <w:p>
      <w:pPr>
        <w:pStyle w:val="kar_section"/>
      </w:pPr>
      <w:r>
        <w:t xml:space="preserve">Section 1.</w:t>
      </w:r>
      <w:r>
        <w:t xml:space="preserve"> </w:t>
      </w:r>
      <w:r>
        <w:t xml:space="preserve">Appointment of Campaign Treasurer. Candidates shall designate campaign treasurers, as required by KRS 121.160(1), or state whether they will act as their own campaign treasurers prior to beginning to campaign for each primary, regular, or special election by using the Kentucky Election Finance Management System found on the Registry's Web site at https://kref.ky.gov.</w:t>
      </w:r>
    </w:p>
    <w:p>
      <w:pPr>
        <w:pStyle w:val="kar_section"/>
      </w:pPr>
      <w:r>
        <w:t xml:space="preserve">Section 2.</w:t>
      </w:r>
      <w:r>
        <w:t xml:space="preserve"> </w:t>
      </w:r>
      <w:r>
        <w:t xml:space="preserve">Optional Request for Reporting Exemption. Candidates shall state whether they are exempt from filing campaign finance reports, as required by KRS 121.180(1)(a), by stating their spending intents for each primary, regular, or special election by using the Kentucky Election Finance Management System found on the Registry's Web site at https://kref.ky.gov.</w:t>
      </w:r>
    </w:p>
    <w:p>
      <w:pPr>
        <w:pStyle w:val="kar_history"/>
        <w:sectPr>
          <w:pgSz w:w="12240" w:h="15840" w:orient="portrait" w:code="1"/>
          <w:pgMar w:top="1080" w:right="1080" w:bottom="1080" w:left="1080" w:header="720" w:footer="720" w:gutter="0"/>
          <w:paperSrc w:first="263" w:other="263"/>
          <w:noEndnote/>
          <w:docGrid w:linePitch="218"/>
        </w:sectPr>
      </w:pPr>
      <w:r>
        <w:t xml:space="preserve">(REF-1-1; 1 Ky.R. 248; eff. 1-8-1975; Am. 10 Ky.R. 1008; 1115; eff. 3-31-1984; 16 Ky.R. 485; eff. 10-6-1989; Recodified from 801 KAR 1:005, 8-5-1992; 29 Ky.R. 2929; 30 Ky.R. 271; eff. 8-13-2003; 32 Ky.R. 701; 1080; eff. 1-6-2006; 44 Ky.R. 550, 1209; eff. 1-5-2018; 50 Ky.R. 73, 798;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3f3896e45644f9" /><Relationship Type="http://schemas.openxmlformats.org/officeDocument/2006/relationships/settings" Target="/word/settings.xml" Id="Ra5b8146cbd994af1" /></Relationships>
</file>