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6d8c9900a3c4299" /></Relationships>
</file>

<file path=word/document.xml><?xml version="1.0" encoding="utf-8"?>
<w:document xmlns:w="http://schemas.openxmlformats.org/wordprocessingml/2006/main">
  <w:body>
    <w:p>
      <w:pPr>
        <w:pStyle w:val="kar_citation"/>
      </w:pPr>
      <w:r>
        <w:t>32 KAR 1:030.</w:t>
      </w:r>
      <w:r>
        <w:t xml:space="preserve"> </w:t>
      </w:r>
      <w:r>
        <w:t xml:space="preserve">Campaign finance statements.</w:t>
      </w:r>
    </w:p>
    <w:p>
      <w:pPr>
        <w:pStyle w:val="kar_markup_metadata"/>
      </w:pPr>
      <w:r>
        <w:t xml:space="preserve">RELATES TO: </w:t>
      </w:r>
      <w:r>
        <w:t xml:space="preserve">KRS 121.015, 121.180, 141.071</w:t>
      </w:r>
    </w:p>
    <w:p>
      <w:pPr>
        <w:pStyle w:val="kar_markup_metadata"/>
      </w:pPr>
      <w:r>
        <w:t xml:space="preserve">STATUTORY AUTHORITY: </w:t>
      </w:r>
      <w:r>
        <w:t xml:space="preserve">KRS 121.120(1)(g), (4)</w:t>
      </w:r>
    </w:p>
    <w:p>
      <w:pPr>
        <w:pStyle w:val="kar_markup_metadata"/>
      </w:pPr>
      <w:r>
        <w:t xml:space="preserve">NECESSITY, FUNCTION, AND CONFORMITY: </w:t>
      </w:r>
      <w:r>
        <w:t xml:space="preserve">KRS 121.120(1)(g) authorizes the Registry to promulgate administrative regulations necessary to carry out the provisions of KRS Chapter 121. KRS 121.120(4) requires the Registry to promulgate administrative regulations and prescribe forms for the making of reports under KRS Chapter 121. KRS 121.015(18) defines "form" to mean an online Web page or an electronic document designed to capture, validate, and submit data for processing to the registry. This administrative regulation establishes the Web page from which candidates, slates of candidates, contributing organizations, and committees shall file campaign finance reports electronically as required by KRS 121.180. It establishes how an executive committee of a political party determines whether it files annually or semiannually under KRS 121.180(2)(c).</w:t>
      </w:r>
    </w:p>
    <w:p>
      <w:pPr>
        <w:pStyle w:val="kar_section"/>
      </w:pPr>
      <w:r>
        <w:t xml:space="preserve">Section 1.</w:t>
      </w:r>
      <w:r>
        <w:t xml:space="preserve"> </w:t>
      </w:r>
      <w:r>
        <w:t xml:space="preserve">All candidates, slates of candidates, contributing organizations, and committees shall file the reports required by KRS 121.180 using the Kentucky Election Finance Management System found on the Registry's Web site at https://kref.ky.gov.</w:t>
      </w:r>
    </w:p>
    <w:p>
      <w:pPr>
        <w:pStyle w:val="kar_section"/>
      </w:pPr>
      <w:r>
        <w:t xml:space="preserve">Section 2.</w:t>
      </w:r>
      <w:r>
        <w:t xml:space="preserve"> </w:t>
      </w:r>
      <w:r>
        <w:t xml:space="preserve">If an executive committee of a political party has $10,000 or more in its campaign account fund at any time during the twelve (12) month period before July 1, it shall make the campaign finance reports required by KRS 121.180(2)(c) semiannually. In making this determination, the committee shall include any funds received from income tax checkoff contributions in accordance with KRS 141.071(2), whether or not those funds are kept in an account separate from other campaign funds. A committee that does not have more than $10,000 in the twelve (12) month period before July 1 shall use the Kentucky Election Finance Management System found on the Registry's Web site at https://kref.ky.gov to certify to the registry that it is not required to file a campaign finance report by July 31.</w:t>
      </w:r>
    </w:p>
    <w:p>
      <w:pPr>
        <w:pStyle w:val="kar_history"/>
        <w:sectPr>
          <w:pgSz w:w="12240" w:h="15840" w:orient="portrait" w:code="1"/>
          <w:pgMar w:top="1080" w:right="1080" w:bottom="1080" w:left="1080" w:header="720" w:footer="720" w:gutter="0"/>
          <w:paperSrc w:first="263" w:other="263"/>
          <w:noEndnote/>
          <w:docGrid w:linePitch="218"/>
        </w:sectPr>
      </w:pPr>
      <w:r>
        <w:t xml:space="preserve">(REF-3-1; 1 Ky.R. 4; Am. 16; eff. 7-7-1975; 10 Ky.R. 1008; 1105; eff. 3-31-1984; 16 Ky.R. 486; eff. 10-6-1989; recodified from 801 KAR 1:010, 8-5-1992; 32 Ky.R. 702; 1080; eff. 1-6-2006; 37 Ky.R. 1502; eff. 3-4-2011; 45 Ky.R. 1052, 2055; eff. 2-1-2019; 50 Ky.R. 74, 798; eff. 1-2-2024.)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5f5a9a408aa4261" /><Relationship Type="http://schemas.openxmlformats.org/officeDocument/2006/relationships/settings" Target="/word/settings.xml" Id="R0ec628e50b0f4f1c" /></Relationships>
</file>