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91de3b632143a8" /></Relationships>
</file>

<file path=word/document.xml><?xml version="1.0" encoding="utf-8"?>
<w:document xmlns:w="http://schemas.openxmlformats.org/wordprocessingml/2006/main">
  <w:body>
    <w:p>
      <w:pPr>
        <w:pStyle w:val="kar_citation"/>
      </w:pPr>
      <w:r>
        <w:t>32 KAR 1:050.</w:t>
      </w:r>
      <w:r>
        <w:t xml:space="preserve"> </w:t>
      </w:r>
      <w:r>
        <w:t xml:space="preserve">Political organization registration.</w:t>
      </w:r>
    </w:p>
    <w:p>
      <w:pPr>
        <w:pStyle w:val="kar_markup_metadata"/>
      </w:pPr>
      <w:r>
        <w:t xml:space="preserve">RELATES TO: </w:t>
      </w:r>
      <w:r>
        <w:t xml:space="preserve">KRS 121.015(3), (4), 121.170, 121.180</w:t>
      </w:r>
    </w:p>
    <w:p>
      <w:pPr>
        <w:pStyle w:val="kar_markup_metadata"/>
      </w:pPr>
      <w:r>
        <w:t xml:space="preserve">STATUTORY AUTHORITY: </w:t>
      </w:r>
      <w:r>
        <w:t xml:space="preserve">KRS 121.015(3), (4), 121.120(1)(g), (4), 121.170(1)</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121.015(3)(b)5. requires the Registry to determine by administrative regulation what constitutes a minor political party for purposes of committee registration. As defined by KRS 121.015(4), a "contributing organization" is subject to contribution limits and required to file periodic campaign finance reports under KRS 121.180(6). KRS 121.015(18) defines "form" to mean an online Web page or an electronic document designed to capture, validate, and submit data for processing to the registry. This administrative regulation defines "minor political party" and "executive committee" and establishes the Web page that committees and contributing organizations shall use for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"Executive committee" means an organizational unit or affiliate recognized within the document governing a political party, that raises and spends funds to promote political party nominees, and performs other activities commensurate with the day-to-day operation of a political party, including voter registration drives, assisting candidate fundraising efforts, holding state conventions or local meetings, and nominating candidates for local, state, and federal office.</w:t>
      </w:r>
    </w:p>
    <w:p>
      <w:pPr>
        <w:pStyle w:val="kar_subsection"/>
      </w:pPr>
      <w:r>
        <w:t xml:space="preserve">(2)</w:t>
      </w:r>
      <w:r>
        <w:t xml:space="preserve"> </w:t>
      </w:r>
      <w:r>
        <w:t xml:space="preserve">"Minor political party" means an association, committee, organization, or group having constituted authority for its governance and regulation, which nominates or selects a candidate for election to any federal or statewide-elected state office in Kentucky, whose name appears on an election ballot as the candidate of the association, committee, organization, or group, and does not have a recognized caucus campaign committee within the Kentucky House or Senate, as defined by KRS 121.015(3)(b)1.-4.</w:t>
      </w:r>
    </w:p>
    <w:p>
      <w:pPr>
        <w:pStyle w:val="kar_subsection"/>
      </w:pPr>
      <w:r>
        <w:t xml:space="preserve">(3)</w:t>
      </w:r>
      <w:r>
        <w:t xml:space="preserve"> </w:t>
      </w:r>
      <w:r>
        <w:t xml:space="preserve">"Political organization" means any committee or contributing organization, as those terms are defined by KRS 121.015(3) and (4).</w:t>
      </w:r>
    </w:p>
    <w:p>
      <w:pPr>
        <w:pStyle w:val="kar_section"/>
      </w:pPr>
      <w:r>
        <w:t xml:space="preserve">Section 2.</w:t>
      </w:r>
      <w:r>
        <w:t xml:space="preserve"> </w:t>
      </w:r>
      <w:r>
        <w:t xml:space="preserve">Political Organization Registration. Campaign committees, caucus campaign committees, political issues committees, permanent committees, inaugural committees, executive committees, and contributing organizations shall register using the Kentucky Election Finance Management System found on the Registry's Web site at https://kref.ky.gov.</w:t>
      </w:r>
    </w:p>
    <w:p>
      <w:pPr>
        <w:pStyle w:val="kar_history"/>
        <w:sectPr>
          <w:pgSz w:w="12240" w:h="15840" w:orient="portrait" w:code="1"/>
          <w:pgMar w:top="1080" w:right="1080" w:bottom="1080" w:left="1080" w:header="720" w:footer="720" w:gutter="0"/>
          <w:paperSrc w:first="263" w:other="263"/>
          <w:noEndnote/>
          <w:docGrid w:linePitch="218"/>
        </w:sectPr>
      </w:pPr>
      <w:r>
        <w:t xml:space="preserve">(REF5-1; 1 Ky.R. 7; 16; eff. 9-11-1974; 10 Ky.R. 1009; 1116; eff. 3-31-1984; 16 Ky.R. 488; eff. 10-6-1989; Recodified from 801 KAR 1:040, eff. 8-5-1992; 32 Ky.R. 703; 1080; eff. 1-6-2006; 38 Ky.R. 294; eff. 11-4-2011; 45 Ky.R. 2401, 2345; eff. 5-3-2019; 50 Ky.R. 76, 799;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0f28ddd5e444c" /><Relationship Type="http://schemas.openxmlformats.org/officeDocument/2006/relationships/settings" Target="/word/settings.xml" Id="R93e7cd28d1d34f7c" /></Relationships>
</file>