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04434551d54f50"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45:140.</w:t>
      </w:r>
      <w:r>
        <w:t xml:space="preserve"> </w:t>
      </w:r>
      <w:r>
        <w:t xml:space="preserve">Conditions applicable to all special waste permits.</w:t>
      </w:r>
    </w:p>
    <w:p>
      <w:pPr>
        <w:pStyle w:val="kar_markup_metadata"/>
      </w:pPr>
      <w:r>
        <w:t xml:space="preserve">RELATES TO: </w:t>
      </w:r>
      <w:r>
        <w:t xml:space="preserve">KRS </w:t>
      </w:r>
      <w:r>
        <w:rPr>
          <w:u w:val="single"/>
        </w:rPr>
        <w:t xml:space="preserve">224.1</w:t>
      </w:r>
      <w:r>
        <w:t>[</w:t>
      </w:r>
      <w:r>
        <w:rPr>
          <w:strike w:val="true"/>
        </w:rPr>
        <w:t xml:space="preserve">224.01</w:t>
      </w:r>
      <w:r>
        <w:t>]</w:t>
      </w:r>
      <w:r>
        <w:t xml:space="preserve">, 224.10, 224.40, 224.46, 224.50, 224.99</w:t>
      </w:r>
    </w:p>
    <w:p>
      <w:pPr>
        <w:pStyle w:val="kar_markup_metadata"/>
      </w:pPr>
      <w:r>
        <w:t xml:space="preserve">STATUTORY AUTHORITY: </w:t>
      </w:r>
      <w:r>
        <w:t xml:space="preserve">KRS 224.10-100, 224.40-305, 224.50-760</w:t>
      </w:r>
    </w:p>
    <w:p>
      <w:pPr>
        <w:pStyle w:val="kar_markup_metadata"/>
      </w:pPr>
      <w:r>
        <w:t xml:space="preserve">NECESSITY, FUNCTION, AND CONFORMITY: </w:t>
      </w:r>
      <w:r>
        <w:t xml:space="preserve">KRS Chapter 224 requires the cabinet to adopt administrative regulations for the management, processing, or disposal of wastes. KRS 224.40-305 requires persons who establish, construct, operate, maintain or permit the use of a waste site or facility to obtain a permit. This chapter establishes the permitting standards for special waste sites or facilities, and the standards applicable to all special waste sites or facilities. This administrative regulation sets forth the conditions applicable to all special waste permits.</w:t>
      </w:r>
    </w:p>
    <w:p>
      <w:pPr>
        <w:pStyle w:val="kar_section"/>
      </w:pPr>
      <w:r>
        <w:t xml:space="preserve">Section 1.</w:t>
      </w:r>
      <w:r>
        <w:t xml:space="preserve"> </w:t>
      </w:r>
      <w:r>
        <w:t xml:space="preserve">Conditions Applicable to All Permits. The conditions applicable to a special waste site or facility shall be incorporated into the permit either expressly or by reference.</w:t>
      </w:r>
    </w:p>
    <w:p>
      <w:pPr>
        <w:pStyle w:val="kar_subsection"/>
      </w:pPr>
      <w:r>
        <w:t xml:space="preserve">(1)</w:t>
      </w:r>
      <w:r>
        <w:t xml:space="preserve"> </w:t>
      </w:r>
      <w:r>
        <w:t xml:space="preserve">Duty to comply. The owner or operator shall comply with all conditions of the permit and all approved plans in the permit application. Any permit noncompliance constitutes a violation of the appropriate </w:t>
      </w:r>
      <w:r>
        <w:rPr>
          <w:u w:val="single"/>
        </w:rPr>
        <w:t xml:space="preserve">requirement in KRS Chapter 224</w:t>
      </w:r>
      <w:r>
        <w:t>[</w:t>
      </w:r>
      <w:r>
        <w:rPr>
          <w:strike w:val="true"/>
        </w:rPr>
        <w:t xml:space="preserve">Kentucky Revised Statute</w:t>
      </w:r>
      <w:r>
        <w:t>]</w:t>
      </w:r>
      <w:r>
        <w:t xml:space="preserve"> and is grounds for enforcement action that may result in revocation, modification, or denial of a permit application.</w:t>
      </w:r>
    </w:p>
    <w:p>
      <w:pPr>
        <w:pStyle w:val="kar_subsection"/>
      </w:pPr>
      <w:r>
        <w:t xml:space="preserve">(2)</w:t>
      </w:r>
      <w:r>
        <w:t xml:space="preserve"> </w:t>
      </w:r>
      <w:r>
        <w:t xml:space="preserve">Duty to reapply. If the owner or operator wishes to continue an activity regulated by the permit after the expiration date of the permit, </w:t>
      </w:r>
      <w:r>
        <w:rPr>
          <w:u w:val="single"/>
        </w:rPr>
        <w:t xml:space="preserve">then</w:t>
      </w:r>
      <w:r>
        <w:t>[</w:t>
      </w:r>
      <w:r>
        <w:rPr>
          <w:strike w:val="true"/>
        </w:rPr>
        <w:t xml:space="preserve">if applicable,</w:t>
      </w:r>
      <w:r>
        <w:t>]</w:t>
      </w:r>
      <w:r>
        <w:t xml:space="preserve"> the owner or operator shall apply for and obtain a new permit.</w:t>
      </w:r>
    </w:p>
    <w:p>
      <w:pPr>
        <w:pStyle w:val="kar_subsection"/>
      </w:pPr>
      <w:r>
        <w:t xml:space="preserve">(3)</w:t>
      </w:r>
      <w:r>
        <w:t xml:space="preserve"> </w:t>
      </w:r>
      <w:r>
        <w:t xml:space="preserve">Duty to halt or reduce activity. It shall not be a defense for an owner or operator in an enforcement action to claim necessity to halt or reduce the permitted activity in order to maintain compliance with the conditions of the permit. The owner or operator shall comply with this chapter before commencing operations.</w:t>
      </w:r>
    </w:p>
    <w:p>
      <w:pPr>
        <w:pStyle w:val="kar_subsection"/>
      </w:pPr>
      <w:r>
        <w:t xml:space="preserve">(4)</w:t>
      </w:r>
      <w:r>
        <w:t xml:space="preserve"> </w:t>
      </w:r>
      <w:r>
        <w:t xml:space="preserve">Duty to mitigate. In the event of noncompliance with the permit, the owner or operator shall take all reasonable steps to minimize releases to the environment, and shall carry out such measures as are reasonable to prevent </w:t>
      </w:r>
      <w:r>
        <w:rPr>
          <w:u w:val="single"/>
        </w:rPr>
        <w:t xml:space="preserve">additional releases or other noncompliances with 401 KAR Chapter 45 and KRS 224.50-760</w:t>
      </w:r>
      <w:r>
        <w:t>[</w:t>
      </w:r>
      <w:r>
        <w:rPr>
          <w:strike w:val="true"/>
        </w:rPr>
        <w:t xml:space="preserve">significant adverse impacts on human health and the environment</w:t>
      </w:r>
      <w:r>
        <w:t>]</w:t>
      </w:r>
      <w:r>
        <w:t xml:space="preserve">.</w:t>
      </w:r>
    </w:p>
    <w:p>
      <w:pPr>
        <w:pStyle w:val="kar_subsection"/>
      </w:pPr>
      <w:r>
        <w:t xml:space="preserve">(5)</w:t>
      </w:r>
      <w:r>
        <w:t xml:space="preserve"> </w:t>
      </w:r>
      <w:r>
        <w:t xml:space="preserve">Proper operation and maintenance. The owner or operator shall at all times properly operate and maintain all facilities and systems of treatment and control that are installed or used by the owner or operator to achieve compliance with the conditions of the permit. Proper operation and maintenance includes</w:t>
      </w:r>
      <w:r>
        <w:rPr>
          <w:u w:val="single"/>
        </w:rPr>
        <w:t xml:space="preserve">:</w:t>
      </w:r>
    </w:p>
    <w:p>
      <w:pPr>
        <w:pStyle w:val="kar_paragraph"/>
      </w:pPr>
      <w:r>
        <w:rPr>
          <w:u w:val="single"/>
        </w:rPr>
        <w:t xml:space="preserve">(a)</w:t>
      </w:r>
      <w:r>
        <w:t xml:space="preserve"> </w:t>
      </w:r>
      <w:r>
        <w:t xml:space="preserve">Effective performance</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Adequate funding</w:t>
      </w:r>
      <w:r>
        <w:rPr>
          <w:u w:val="single"/>
        </w:rPr>
        <w:t xml:space="preserve">;</w:t>
      </w:r>
      <w:r>
        <w:t>[</w:t>
      </w:r>
      <w:r>
        <w:rPr>
          <w:strike w:val="true"/>
        </w:rPr>
        <w:t xml:space="preserve">,</w:t>
      </w:r>
      <w:r>
        <w:t>]</w:t>
      </w:r>
    </w:p>
    <w:p>
      <w:pPr>
        <w:pStyle w:val="kar_paragraph"/>
      </w:pPr>
      <w:r>
        <w:rPr>
          <w:u w:val="single"/>
        </w:rPr>
        <w:t xml:space="preserve">(c)</w:t>
      </w:r>
      <w:r>
        <w:t xml:space="preserve"> </w:t>
      </w:r>
      <w:r>
        <w:t xml:space="preserve">Adequate operator staffing and training</w:t>
      </w:r>
      <w:r>
        <w:rPr>
          <w:u w:val="single"/>
        </w:rPr>
        <w:t xml:space="preserve">;</w:t>
      </w:r>
      <w:r>
        <w:t>[</w:t>
      </w:r>
      <w:r>
        <w:rPr>
          <w:strike w:val="true"/>
        </w:rPr>
        <w:t xml:space="preserve">,</w:t>
      </w:r>
      <w:r>
        <w:t>]</w:t>
      </w:r>
      <w:r>
        <w:t xml:space="preserve"> and</w:t>
      </w:r>
    </w:p>
    <w:p>
      <w:pPr>
        <w:pStyle w:val="kar_paragraph"/>
      </w:pPr>
      <w:r>
        <w:rPr>
          <w:u w:val="single"/>
        </w:rPr>
        <w:t xml:space="preserve">(d)</w:t>
      </w:r>
      <w:r>
        <w:t xml:space="preserve"> </w:t>
      </w:r>
      <w:r>
        <w:t xml:space="preserve">Process controls, including appropriate quality assurance procedures.</w:t>
      </w:r>
    </w:p>
    <w:p>
      <w:pPr>
        <w:pStyle w:val="kar_subsection"/>
      </w:pPr>
      <w:r>
        <w:t xml:space="preserve">(6)</w:t>
      </w:r>
      <w:r>
        <w:t xml:space="preserve"> </w:t>
      </w:r>
      <w:r>
        <w:t xml:space="preserve">Permit actions. The permit may be modified or revoked </w:t>
      </w:r>
      <w:r>
        <w:rPr>
          <w:u w:val="single"/>
        </w:rPr>
        <w:t xml:space="preserve">due to non-compliances with the provisions of this chapter and KRS Chapter 50.</w:t>
      </w:r>
      <w:r>
        <w:t>[</w:t>
      </w:r>
      <w:r>
        <w:rPr>
          <w:strike w:val="true"/>
        </w:rPr>
        <w:t xml:space="preserve">for cause.</w:t>
      </w:r>
      <w:r>
        <w:t>]</w:t>
      </w:r>
      <w:r>
        <w:t xml:space="preserve"> The filing of a request by the owner or operator for a permit modification, revocation, or termination, or a notification of planned changes or anticipated noncompliance, shall not stay any permit condition.</w:t>
      </w:r>
    </w:p>
    <w:p>
      <w:pPr>
        <w:pStyle w:val="kar_subsection"/>
      </w:pPr>
      <w:r>
        <w:t xml:space="preserve">(7)</w:t>
      </w:r>
      <w:r>
        <w:t xml:space="preserve"> </w:t>
      </w:r>
      <w:r>
        <w:t xml:space="preserve">Property rights. The permit shall not convey any property rights or any exclusive privilege.</w:t>
      </w:r>
    </w:p>
    <w:p>
      <w:pPr>
        <w:pStyle w:val="kar_subsection"/>
      </w:pPr>
      <w:r>
        <w:t xml:space="preserve">(8)</w:t>
      </w:r>
      <w:r>
        <w:t xml:space="preserve"> </w:t>
      </w:r>
      <w:r>
        <w:t xml:space="preserve">Duty to provide information. The owner or operator shall furnish the cabinet with </w:t>
      </w:r>
      <w:r>
        <w:t>[</w:t>
      </w:r>
      <w:r>
        <w:rPr>
          <w:strike w:val="true"/>
        </w:rPr>
        <w:t xml:space="preserve">any </w:t>
      </w:r>
      <w:r>
        <w:t>]</w:t>
      </w:r>
      <w:r>
        <w:t xml:space="preserve">information that the cabinet reasonably requests to determine whether cause exists for modifying, revoking, or terminating the permit, or to determine compliance with the permit or </w:t>
      </w:r>
      <w:r>
        <w:t>[</w:t>
      </w:r>
      <w:r>
        <w:rPr>
          <w:strike w:val="true"/>
        </w:rPr>
        <w:t xml:space="preserve">any provision of KRS Chapter 224 or </w:t>
      </w:r>
      <w:r>
        <w:t>]</w:t>
      </w:r>
      <w:r>
        <w:t xml:space="preserve">this chapter. The owner or operator shall </w:t>
      </w:r>
      <w:r>
        <w:t>[</w:t>
      </w:r>
      <w:r>
        <w:rPr>
          <w:strike w:val="true"/>
        </w:rPr>
        <w:t xml:space="preserve">also </w:t>
      </w:r>
      <w:r>
        <w:t>]</w:t>
      </w:r>
      <w:r>
        <w:t xml:space="preserve">furnish to the cabinet upon request copies of records required to be kept by the permittee.</w:t>
      </w:r>
    </w:p>
    <w:p>
      <w:pPr>
        <w:pStyle w:val="kar_subsection"/>
      </w:pPr>
      <w:r>
        <w:t xml:space="preserve">(9)</w:t>
      </w:r>
      <w:r>
        <w:t xml:space="preserve"> </w:t>
      </w:r>
      <w:r>
        <w:t xml:space="preserve">Inspection and entry. The owner or operator shall allow the cabinet or its authorized representative to:</w:t>
      </w:r>
    </w:p>
    <w:p>
      <w:pPr>
        <w:pStyle w:val="kar_paragraph"/>
      </w:pPr>
      <w:r>
        <w:t xml:space="preserve">(a)</w:t>
      </w:r>
      <w:r>
        <w:t xml:space="preserve"> </w:t>
      </w:r>
      <w:r>
        <w:t xml:space="preserve">Enter upon the owner's or operator's premises where a regulated facility or activity is located or conducted, or where records are kept under the conditions of the permit;</w:t>
      </w:r>
    </w:p>
    <w:p>
      <w:pPr>
        <w:pStyle w:val="kar_paragraph"/>
      </w:pPr>
      <w:r>
        <w:t xml:space="preserve">(b)</w:t>
      </w:r>
      <w:r>
        <w:t xml:space="preserve"> </w:t>
      </w:r>
      <w:r>
        <w:t xml:space="preserve">Have access to and copy at reasonable times any records that are kept under the conditions of the permit;</w:t>
      </w:r>
    </w:p>
    <w:p>
      <w:pPr>
        <w:pStyle w:val="kar_paragraph"/>
      </w:pPr>
      <w:r>
        <w:t xml:space="preserve">(c)</w:t>
      </w:r>
      <w:r>
        <w:t xml:space="preserve"> </w:t>
      </w:r>
      <w:r>
        <w:t xml:space="preserve">Inspect any facility's equipment, including monitoring and control equipment, practices, or operations regulated or required under the permit; and</w:t>
      </w:r>
    </w:p>
    <w:p>
      <w:pPr>
        <w:pStyle w:val="kar_paragraph"/>
      </w:pPr>
      <w:r>
        <w:t xml:space="preserve">(d)</w:t>
      </w:r>
      <w:r>
        <w:t xml:space="preserve"> </w:t>
      </w:r>
      <w:r>
        <w:t xml:space="preserve">Sample or monitor, for the purposes of assuring permit compliance or determining compliance with KRS Chapter 224 or this chapter, any substances or parameters </w:t>
      </w:r>
      <w:r>
        <w:rPr>
          <w:u w:val="single"/>
        </w:rPr>
        <w:t xml:space="preserve">within the boundaries of the permitted area and outside the boundaries of the permitted area if necessary to determine the environmental impacts resulting from a permitted activity</w:t>
      </w:r>
      <w:r>
        <w:t>[</w:t>
      </w:r>
      <w:r>
        <w:rPr>
          <w:strike w:val="true"/>
        </w:rPr>
        <w:t xml:space="preserve">at any location</w:t>
      </w:r>
      <w:r>
        <w:t>]</w:t>
      </w:r>
      <w:r>
        <w:t xml:space="preserve">.</w:t>
      </w:r>
    </w:p>
    <w:p>
      <w:pPr>
        <w:pStyle w:val="kar_subsection"/>
      </w:pPr>
      <w:r>
        <w:t xml:space="preserve">(10)</w:t>
      </w:r>
      <w:r>
        <w:t xml:space="preserve"> </w:t>
      </w:r>
      <w:r>
        <w:t xml:space="preserve">Signatory requirement. All applications, reports, and information submitted to the cabinet shall be signed and certified in accordance with Section 10 of 401 KAR 45:030.</w:t>
      </w:r>
    </w:p>
    <w:p>
      <w:pPr>
        <w:pStyle w:val="kar_subsection"/>
      </w:pPr>
      <w:r>
        <w:t xml:space="preserve">(11)</w:t>
      </w:r>
      <w:r>
        <w:t xml:space="preserve"> </w:t>
      </w:r>
      <w:r>
        <w:t xml:space="preserve">Authorization to operate. For a new special waste site or facility, or a facility undergoing an expansion or modification as stated in 401 KAR 45:040, the owner or operator shall not commence storage, treatment, or disposal of special waste in the modified portion of the facility until:</w:t>
      </w:r>
    </w:p>
    <w:p>
      <w:pPr>
        <w:pStyle w:val="kar_paragraph"/>
      </w:pPr>
      <w:r>
        <w:t xml:space="preserve">(a)</w:t>
      </w:r>
      <w:r>
        <w:t xml:space="preserve"> </w:t>
      </w:r>
      <w:r>
        <w:t xml:space="preserve">The owner or operator has submitted to the cabinet, by certified mail or hand delivery, a request for the issuance of a </w:t>
      </w:r>
      <w:r>
        <w:rPr>
          <w:u w:val="single"/>
        </w:rPr>
        <w:t xml:space="preserve">construction and operation</w:t>
      </w:r>
      <w:r>
        <w:t>[</w:t>
      </w:r>
      <w:r>
        <w:rPr>
          <w:strike w:val="true"/>
        </w:rPr>
        <w:t xml:space="preserve">construction/operation</w:t>
      </w:r>
      <w:r>
        <w:t>]</w:t>
      </w:r>
      <w:r>
        <w:t xml:space="preserve"> permit signed by the owner or operator stating that the facility has been constructed or modified in compliance with the construction permit. The request shall be accompanied by a fee specified in Section 2(1)(d) of 401 KAR 45:250; and</w:t>
      </w:r>
    </w:p>
    <w:p>
      <w:pPr>
        <w:pStyle w:val="kar_paragraph"/>
      </w:pPr>
      <w:r>
        <w:t xml:space="preserve">(b)</w:t>
      </w:r>
      <w:r>
        <w:t xml:space="preserve"> </w:t>
      </w:r>
      <w:r>
        <w:t xml:space="preserve">The cabinet has inspected the newly constructed or modified facility and issued a special waste </w:t>
      </w:r>
      <w:r>
        <w:rPr>
          <w:u w:val="single"/>
        </w:rPr>
        <w:t xml:space="preserve">construction and operation</w:t>
      </w:r>
      <w:r>
        <w:t>[</w:t>
      </w:r>
      <w:r>
        <w:rPr>
          <w:strike w:val="true"/>
        </w:rPr>
        <w:t xml:space="preserve">construction/operation</w:t>
      </w:r>
      <w:r>
        <w:t>]</w:t>
      </w:r>
      <w:r>
        <w:t xml:space="preserve"> permit or modified construction/operation permit.</w:t>
      </w:r>
    </w:p>
    <w:p>
      <w:pPr>
        <w:pStyle w:val="kar_subsection"/>
      </w:pPr>
      <w:r>
        <w:t xml:space="preserve">(12)</w:t>
      </w:r>
      <w:r>
        <w:t xml:space="preserve"> </w:t>
      </w:r>
      <w:r>
        <w:t xml:space="preserve">Transfers. The permit shall not be transferable to any person without prior approval of the cabinet. Proposed new owners or operators shall submit a complete transfer permit application to the cabinet in accordance with Section 3 of 401 KAR 45:040.</w:t>
      </w:r>
    </w:p>
    <w:p>
      <w:pPr>
        <w:pStyle w:val="kar_subsection"/>
      </w:pPr>
      <w:r>
        <w:t xml:space="preserve">(13)</w:t>
      </w:r>
      <w:r>
        <w:t xml:space="preserve"> </w:t>
      </w:r>
      <w:r>
        <w:t xml:space="preserve">Monitoring reports. Monitoring results shall be reported at the intervals specified in the approved permit application.</w:t>
      </w:r>
    </w:p>
    <w:p>
      <w:pPr>
        <w:pStyle w:val="kar_subsection"/>
      </w:pPr>
      <w:r>
        <w:t xml:space="preserve">(14)</w:t>
      </w:r>
      <w:r>
        <w:t xml:space="preserve"> </w:t>
      </w:r>
      <w:r>
        <w:t xml:space="preserve">Compliance schedules. Reports of compliance with, or any progress reports on, requirements contained in any compliance schedule of the permit shall be submitted no later than fourteen (14) days following each scheduled date.</w:t>
      </w:r>
    </w:p>
    <w:p>
      <w:pPr>
        <w:pStyle w:val="kar_subsection"/>
      </w:pPr>
      <w:r>
        <w:t xml:space="preserve">(15)</w:t>
      </w:r>
      <w:r>
        <w:t xml:space="preserve"> </w:t>
      </w:r>
      <w:r>
        <w:t xml:space="preserve">Reports. Periodic reports as required in this chapter or in the permit shall be submitted to the cabinet </w:t>
      </w:r>
      <w:r>
        <w:rPr>
          <w:u w:val="single"/>
        </w:rPr>
        <w:t xml:space="preserve">on the dates required in this chapter or in the permit</w:t>
      </w:r>
      <w:r>
        <w:t>[</w:t>
      </w:r>
      <w:r>
        <w:rPr>
          <w:strike w:val="true"/>
        </w:rPr>
        <w:t xml:space="preserve">on a timely basis</w:t>
      </w:r>
      <w:r>
        <w:t>]</w:t>
      </w:r>
      <w:r>
        <w:t xml:space="preserve">.</w:t>
      </w:r>
    </w:p>
    <w:p>
      <w:pPr>
        <w:pStyle w:val="kar_subsection"/>
      </w:pPr>
      <w:r>
        <w:t xml:space="preserve">(16)</w:t>
      </w:r>
      <w:r>
        <w:t xml:space="preserve"> </w:t>
      </w:r>
      <w:r>
        <w:t xml:space="preserve">Other information. If the owner or operator fails to submit any relevant facts in a permit application, or submits incorrect information in a permit application or in any report to the cabinet, </w:t>
      </w:r>
      <w:r>
        <w:rPr>
          <w:u w:val="single"/>
        </w:rPr>
        <w:t xml:space="preserve">the owner or operator</w:t>
      </w:r>
      <w:r>
        <w:t>[</w:t>
      </w:r>
      <w:r>
        <w:rPr>
          <w:strike w:val="true"/>
        </w:rPr>
        <w:t xml:space="preserve">he</w:t>
      </w:r>
      <w:r>
        <w:t>]</w:t>
      </w:r>
      <w:r>
        <w:t xml:space="preserve"> shall promptly submit the facts or correct information.</w:t>
      </w:r>
    </w:p>
    <w:p>
      <w:pPr>
        <w:pStyle w:val="kar_section"/>
      </w:pPr>
      <w:r>
        <w:t xml:space="preserve">Section 2.</w:t>
      </w:r>
      <w:r>
        <w:t xml:space="preserve"> </w:t>
      </w:r>
    </w:p>
    <w:p>
      <w:pPr>
        <w:pStyle w:val="kar_subsection"/>
      </w:pPr>
      <w:r>
        <w:rPr>
          <w:u w:val="single"/>
        </w:rPr>
        <w:t xml:space="preserve">(1)</w:t>
      </w:r>
      <w:r>
        <w:t xml:space="preserve"> </w:t>
      </w:r>
      <w:r>
        <w:t xml:space="preserve">Establishing Permit Conditions. In addition to conditions required for all permits in Section 1 of this administrative regulation, the cabinet shall establish conditions on a case-by-case basis in permits </w:t>
      </w:r>
      <w:r>
        <w:rPr>
          <w:u w:val="single"/>
        </w:rPr>
        <w:t xml:space="preserve">to ensure compliance with the requirements of this chapter</w:t>
      </w:r>
      <w:r>
        <w:t xml:space="preserve">.</w:t>
      </w:r>
    </w:p>
    <w:p>
      <w:pPr>
        <w:pStyle w:val="kar_subsection"/>
      </w:pPr>
      <w:r>
        <w:rPr>
          <w:u w:val="single"/>
        </w:rPr>
        <w:t xml:space="preserve">(2)</w:t>
      </w:r>
      <w:r>
        <w:t xml:space="preserve"> </w:t>
      </w:r>
      <w:r>
        <w:t xml:space="preserve">The cabinet may incorporate applicable requirements directly into the permit. Each special waste permit issued by the cabinet shall contain conditions as the cabinet determines necessary to </w:t>
      </w:r>
      <w:r>
        <w:rPr>
          <w:u w:val="single"/>
        </w:rPr>
        <w:t xml:space="preserve">assist in compliance with the approved application and this chapter</w:t>
      </w:r>
      <w:r>
        <w:t>[</w:t>
      </w:r>
      <w:r>
        <w:rPr>
          <w:strike w:val="true"/>
        </w:rPr>
        <w:t xml:space="preserve">protect human health and the environment</w:t>
      </w:r>
      <w:r>
        <w:t>]</w:t>
      </w:r>
      <w:r>
        <w:t xml:space="preserve">.</w:t>
      </w:r>
    </w:p>
    <w:p>
      <w:pPr>
        <w:pStyle w:val="kar_signature"/>
      </w:pPr>
      <w:r>
        <w:t xml:space="preserve">REBECCA GOODMAN, Secretary</w:t>
      </w:r>
    </w:p>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conditions applicable to all special waste permits.</w:t>
      </w:r>
    </w:p>
    <w:p>
      <w:pPr>
        <w:pStyle w:val="kar_normal"/>
        <w:ind w:left="576"/>
      </w:pPr>
      <w:r>
        <w:t xml:space="preserve">(b) The necessity of this administrative regulation:</w:t>
      </w:r>
    </w:p>
    <w:p>
      <w:pPr>
        <w:pStyle w:val="kar_normal"/>
        <w:ind w:left="720"/>
      </w:pPr>
      <w:r>
        <w:t xml:space="preserve">This administrative regulation is necessary as it sets standards and duties of the applicant/permittee for all special waste permits.</w:t>
      </w:r>
    </w:p>
    <w:p>
      <w:pPr>
        <w:pStyle w:val="kar_normal"/>
        <w:ind w:left="576"/>
      </w:pPr>
      <w:r>
        <w:t xml:space="preserve">(c) How this administrative regulation conforms to the content of the authorizing statutes:</w:t>
      </w:r>
    </w:p>
    <w:p>
      <w:pPr>
        <w:pStyle w:val="kar_normal"/>
        <w:ind w:left="720"/>
      </w:pPr>
      <w:r>
        <w:t xml:space="preserve">The authorizing statutes provides the department the authority to promulgate administrative regulations and administer special waste programs. 401 KAR Chapter 45 establishes different permitting options for entities that manage special waste. This administrative regulation provides applicants and permittees information that applies to all special waste permit types.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administration of the statutes by providing the regulated community information that is applicable to all special waste permit types.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the processes that are established in this administrative regulation do not apply to wastewater treatment plant sludges (biosolids). The amendments make corrections to clarify the meaning of parts of the administrative regulation and comply with the drafting requirements of KRS Chapter 13A.</w:t>
      </w:r>
    </w:p>
    <w:p>
      <w:pPr>
        <w:pStyle w:val="kar_normal"/>
        <w:ind w:left="576"/>
      </w:pPr>
      <w:r>
        <w:t xml:space="preserve">(b) The necessity of the amendment to this administrative regulation:</w:t>
      </w:r>
    </w:p>
    <w:p>
      <w:pPr>
        <w:pStyle w:val="kar_normal"/>
        <w:ind w:left="720"/>
      </w:pPr>
      <w:r>
        <w:t xml:space="preserve">This amendment is necessary to correct KRS Chapter 13A deficiencies as well as clarifying the language related to all special waste permit types.</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clarifying language that is related to all special waste permit types and make changes that conform to the drafting requirements of KRS Chapter 13A.</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providing clear and concise language that is compliant with the drafting requirements of KRS Chapter 13A.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need to comply with the administrative regulation. There are no additional requirements. However, the requirements that are there are easier to understand, and citations are more concise.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regulated entity to comply with this amendment. The requirements in the administrative regulation have not changed. The only changes were in an effort to clarify the requirements for regulated entities.</w:t>
      </w:r>
    </w:p>
    <w:p>
      <w:pPr>
        <w:pStyle w:val="kar_normal"/>
        <w:ind w:left="576"/>
      </w:pPr>
      <w:r>
        <w:t xml:space="preserve">(c) As a result of compliance, what benefits will accrue to the entities identified in question (3):</w:t>
      </w:r>
    </w:p>
    <w:p>
      <w:pPr>
        <w:pStyle w:val="kar_normal"/>
        <w:ind w:left="720"/>
      </w:pPr>
      <w:r>
        <w:t xml:space="preserve">The entities will benefit by having clear and concise requirements to follow related to all special waste permit types.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the new process in 401 KAR 45:105.</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new fees associated with this administrative regulation or the amendment.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No. All entities that submit an application for special waste permit will have their permits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224.40-305, 224.50-760.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The administrative regulation provides general information related to all special waste permits. Those requirements have not been changed but simply clarified.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in subsequent years.</w:t>
      </w:r>
    </w:p>
    <w:p>
      <w:pPr>
        <w:pStyle w:val="kar_normal"/>
        <w:ind w:left="576"/>
      </w:pPr>
      <w:r>
        <w:t xml:space="preserve">(c) How much will it cost to administer this program for the first year?</w:t>
      </w:r>
    </w:p>
    <w:p>
      <w:pPr>
        <w:pStyle w:val="kar_normal"/>
        <w:ind w:left="720"/>
      </w:pPr>
      <w:r>
        <w:t xml:space="preserve">There should not be an additional cost associated with implementation of these amendments. The Cabinet will use the same personnel and equipment to review permits under the current structure and these amendments.</w:t>
      </w:r>
    </w:p>
    <w:p>
      <w:pPr>
        <w:pStyle w:val="kar_normal"/>
        <w:ind w:left="576"/>
      </w:pPr>
      <w:r>
        <w:t xml:space="preserve">(d) How much will it cost to administer this program for subsequent years?</w:t>
      </w:r>
    </w:p>
    <w:p>
      <w:pPr>
        <w:pStyle w:val="kar_normal"/>
        <w:ind w:left="720"/>
      </w:pPr>
      <w:r>
        <w:t xml:space="preserve">There should not be an additional cost associated with implementation of these amendments.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are no anticipated increases in revenues related to these amendments.</w:t>
      </w:r>
    </w:p>
    <w:p>
      <w:pPr>
        <w:pStyle w:val="kar_normal"/>
        <w:ind w:left="288"/>
      </w:pPr>
      <w:r>
        <w:t xml:space="preserve">Expenditures (+/-):</w:t>
      </w:r>
      <w:r>
        <w:t xml:space="preserve"> There are no anticipated increases in expenditures related to these amendments.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Cabinet does not anticipate there to be a significant cost savings to the regulated entity in subsequent years related to the implementation of these amendments.</w:t>
      </w:r>
    </w:p>
    <w:p>
      <w:pPr>
        <w:pStyle w:val="kar_normal"/>
        <w:ind w:left="576"/>
      </w:pPr>
      <w:r>
        <w:t xml:space="preserve">(c) How much will it cost the regulated entities for the first year?</w:t>
      </w:r>
    </w:p>
    <w:p>
      <w:pPr>
        <w:pStyle w:val="kar_normal"/>
        <w:ind w:left="720"/>
      </w:pPr>
      <w:r>
        <w:t xml:space="preserve">The addition of language clarifying language in the administrative regulation and making amendments to comply with drafting requirements of KRS Chapter 13A will not result in additional costs.</w:t>
      </w:r>
    </w:p>
    <w:p>
      <w:pPr>
        <w:pStyle w:val="kar_normal"/>
        <w:ind w:left="576"/>
      </w:pPr>
      <w:r>
        <w:t xml:space="preserve">(d) How much will it cost the regulated entities for subsequent years?</w:t>
      </w:r>
    </w:p>
    <w:p>
      <w:pPr>
        <w:pStyle w:val="kar_normal"/>
        <w:ind w:left="720"/>
      </w:pPr>
      <w:r>
        <w:t xml:space="preserve">The addition of clarifying language stated in (c) will not result in a cost increase for the regulated entity.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not a predicted change in costs with this proposal.</w:t>
      </w:r>
    </w:p>
    <w:p>
      <w:pPr>
        <w:pStyle w:val="kar_normal"/>
        <w:ind w:left="288"/>
      </w:pPr>
      <w:r>
        <w:t xml:space="preserve">Expenditures (+/-):</w:t>
      </w:r>
      <w:r>
        <w:t xml:space="preserve"> There is not expected to be a change in expenditures with this proposal.</w:t>
      </w:r>
    </w:p>
    <w:p>
      <w:pPr>
        <w:pStyle w:val="kar_normal"/>
        <w:ind w:left="288"/>
      </w:pPr>
      <w:r>
        <w:t xml:space="preserve">Other Explanation:</w:t>
      </w:r>
    </w:p>
    <w:p>
      <w:pPr>
        <w:pStyle w:val="kar_normal"/>
        <w:ind w:left="432"/>
      </w:pPr>
      <w:r>
        <w:t xml:space="preserve">The amendment to this administrative regulation is clarify the administrative regulation and make it easier to interpret. Therefore, there is not an anticipated impact to costs or revenues with this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27b83fa54f4998" /><Relationship Type="http://schemas.openxmlformats.org/officeDocument/2006/relationships/settings" Target="/word/settings.xml" Id="R99bf596bf92a4a78" /></Relationships>
</file>