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ea5c4b98a5456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16:071.</w:t>
      </w:r>
      <w:r>
        <w:t xml:space="preserve"> </w:t>
      </w:r>
      <w:r>
        <w:t xml:space="preserve">Repeal of 302 KAR 16:070.</w:t>
      </w:r>
    </w:p>
    <w:p>
      <w:pPr>
        <w:pStyle w:val="kar_markup_metadata"/>
      </w:pPr>
      <w:r>
        <w:t xml:space="preserve">RELATES TO: </w:t>
      </w:r>
      <w:r>
        <w:t xml:space="preserve">KRS 247.232 - 247.236</w:t>
      </w:r>
    </w:p>
    <w:p>
      <w:pPr>
        <w:pStyle w:val="kar_markup_metadata"/>
      </w:pPr>
      <w:r>
        <w:t xml:space="preserve">STATUTORY AUTHORITY: </w:t>
      </w:r>
      <w:r>
        <w:t xml:space="preserve">KRS 247.233</w:t>
      </w:r>
    </w:p>
    <w:p>
      <w:pPr>
        <w:pStyle w:val="kar_markup_metadata"/>
      </w:pPr>
      <w:r>
        <w:t xml:space="preserve">NECESSITY, FUNCTION, AND CONFORMITY: </w:t>
      </w:r>
      <w:r>
        <w:t xml:space="preserve">KRS 247.233 requires amusement ride and attraction owners to notify the department following an accident. This administrative regulation repeals 302 KAR 16:070 because 302 KAR 16:072 will cover the reporting criteria.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302 KAR 16:070, Reports of injuries involving amusement rides and amusement attractions, is hereby repealed.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(50 Ky.R. 235; 822; eff. 10-19-2023.)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146344e9104833" /><Relationship Type="http://schemas.openxmlformats.org/officeDocument/2006/relationships/settings" Target="/word/settings.xml" Id="Rdb030fe8f115472a" /></Relationships>
</file>