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7a4f9403a14aa5"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negative hair samples with a test date within thirty (30) days of the race or have a hair sample pulled by a commission veterinarian prior to the race and sent to a testing laboratory. If a hair sample taken by a commission veterinarian returns a positive finding, the horse shall be disqualified and the owner and trainer may incur penalties established in 810 KAR 8:030. In addition, all quarter horses shall submit to out-of-competition testing governed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When there is a scratch in a straightaway quarter horse race that has an also eligible list, the also eligible horse shall take the post position of the scratched horse. When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0414f82b4c459b" /><Relationship Type="http://schemas.openxmlformats.org/officeDocument/2006/relationships/settings" Target="/word/settings.xml" Id="Rb76402e89adf41fc" /></Relationships>
</file>