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b18e76fbe04037" /></Relationships>
</file>

<file path=word/document.xml><?xml version="1.0" encoding="utf-8"?>
<w:document xmlns:w="http://schemas.openxmlformats.org/wordprocessingml/2006/main">
  <w:body>
    <w:p>
      <w:pPr>
        <w:pStyle w:val="kar_citation"/>
      </w:pPr>
      <w:r>
        <w:t>201 KAR 2:340.</w:t>
      </w:r>
      <w:r>
        <w:t xml:space="preserve"> </w:t>
      </w:r>
      <w:r>
        <w:t xml:space="preserve">Special limited pharmacy permit - clinical practice.</w:t>
      </w:r>
    </w:p>
    <w:p>
      <w:pPr>
        <w:pStyle w:val="kar_markup_metadata"/>
      </w:pPr>
      <w:r>
        <w:t xml:space="preserve">RELATES TO: </w:t>
      </w:r>
      <w:r>
        <w:t xml:space="preserve">KRS 315.010(9), 315.020, 315.035, 315.191(1)(a)</w:t>
      </w:r>
    </w:p>
    <w:p>
      <w:pPr>
        <w:pStyle w:val="kar_markup_metadata"/>
      </w:pPr>
      <w:r>
        <w:t xml:space="preserve">STATUTORY AUTHORITY: </w:t>
      </w:r>
      <w:r>
        <w:t xml:space="preserve">KRS 315.035, 315.191(1)(a)</w:t>
      </w:r>
    </w:p>
    <w:p>
      <w:pPr>
        <w:pStyle w:val="kar_markup_metadata"/>
      </w:pPr>
      <w:r>
        <w:t xml:space="preserve">NECESSITY, FUNCTION, AND CONFORMITY: </w:t>
      </w:r>
      <w:r>
        <w:t xml:space="preserve">KRS 315.035 authorizes the Board of Pharmacy issue a permit to a pharmacy. KRS 315.191(1)(a) authorizes the Board of Pharmacy to promulgate administrative regulations with minimum requirements for the permitting of those entities that provide non-dispensing pharmacy services. This administrative regulation establishes the requirements for the Special limited pharmacy permit - Clinical practice.</w:t>
      </w:r>
    </w:p>
    <w:p>
      <w:pPr>
        <w:pStyle w:val="kar_section"/>
      </w:pPr>
      <w:r>
        <w:t xml:space="preserve">Section 1.</w:t>
      </w:r>
      <w:r>
        <w:t xml:space="preserve"> </w:t>
      </w:r>
      <w:r>
        <w:t xml:space="preserve">Definitions.</w:t>
      </w:r>
    </w:p>
    <w:p>
      <w:pPr>
        <w:pStyle w:val="kar_subsection"/>
      </w:pPr>
      <w:r>
        <w:t xml:space="preserve">(1)</w:t>
      </w:r>
      <w:r>
        <w:t xml:space="preserve"> </w:t>
      </w:r>
      <w:r>
        <w:t xml:space="preserve">"Special limited pharmacy permit" means a permit issued to a pharmacy that provides miscellaneous specialized pharmacy service and functions.</w:t>
      </w:r>
    </w:p>
    <w:p>
      <w:pPr>
        <w:pStyle w:val="kar_subsection"/>
      </w:pPr>
      <w:r>
        <w:t xml:space="preserve">(2)</w:t>
      </w:r>
      <w:r>
        <w:t xml:space="preserve"> </w:t>
      </w:r>
      <w:r>
        <w:t xml:space="preserve">"Special limited pharmacy permit - clinical practice" means a permit issued to a pharmacy that maintains patient records and other information for the purpose of engaging in the practice of pharmacy and does not dispense prescription drug orders.</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An applicant for a special limited pharmacy permit - clinical practice shall:</w:t>
      </w:r>
    </w:p>
    <w:p>
      <w:pPr>
        <w:pStyle w:val="kar_paragraph"/>
      </w:pPr>
      <w:r>
        <w:t xml:space="preserve">(a)</w:t>
      </w:r>
      <w:r>
        <w:t xml:space="preserve"> </w:t>
      </w:r>
      <w:r>
        <w:t xml:space="preserve">Prepare and adopt a policy and procedure manual that is updated annually;</w:t>
      </w:r>
    </w:p>
    <w:p>
      <w:pPr>
        <w:pStyle w:val="kar_paragraph"/>
      </w:pPr>
      <w:r>
        <w:t xml:space="preserve">(b)</w:t>
      </w:r>
      <w:r>
        <w:t xml:space="preserve"> </w:t>
      </w:r>
      <w:r>
        <w:t xml:space="preserve">Maintain pharmacy references as outlined in 201 KAR 2:090;</w:t>
      </w:r>
    </w:p>
    <w:p>
      <w:pPr>
        <w:pStyle w:val="kar_paragraph"/>
      </w:pPr>
      <w:r>
        <w:t xml:space="preserve">(c)</w:t>
      </w:r>
      <w:r>
        <w:t xml:space="preserve"> </w:t>
      </w:r>
      <w:r>
        <w:t xml:space="preserve">Maintain a physical pharmacy address;</w:t>
      </w:r>
    </w:p>
    <w:p>
      <w:pPr>
        <w:pStyle w:val="kar_paragraph"/>
      </w:pPr>
      <w:r>
        <w:t xml:space="preserve">(d)</w:t>
      </w:r>
      <w:r>
        <w:t xml:space="preserve"> </w:t>
      </w:r>
      <w:r>
        <w:t xml:space="preserve">Designate a Pharmacist-in-Charge (PIC) without a required minimum number of hours of physical presence;</w:t>
      </w:r>
    </w:p>
    <w:p>
      <w:pPr>
        <w:pStyle w:val="kar_paragraph"/>
      </w:pPr>
      <w:r>
        <w:t xml:space="preserve">(e)</w:t>
      </w:r>
      <w:r>
        <w:t xml:space="preserve"> </w:t>
      </w:r>
      <w:r>
        <w:t xml:space="preserve"> </w:t>
      </w:r>
    </w:p>
    <w:p>
      <w:pPr>
        <w:pStyle w:val="kar_subparagraph"/>
      </w:pPr>
      <w:r>
        <w:t xml:space="preserve">1.</w:t>
      </w:r>
      <w:r>
        <w:t xml:space="preserve"> </w:t>
      </w:r>
      <w:r>
        <w:t xml:space="preserve">Maintain patient records for five (5) years in a manner that shall provide adequate safeguards against improper manipulation or alteration of the records; and</w:t>
      </w:r>
    </w:p>
    <w:p>
      <w:pPr>
        <w:pStyle w:val="kar_subparagraph"/>
      </w:pPr>
      <w:r>
        <w:t xml:space="preserve">2.</w:t>
      </w:r>
      <w:r>
        <w:t xml:space="preserve"> </w:t>
      </w:r>
      <w:r>
        <w:t xml:space="preserve">Abide by the standard that a computer malfunction or data processing services' negligence is not a defense against the charges of improper recordkeeping; and</w:t>
      </w:r>
    </w:p>
    <w:p>
      <w:pPr>
        <w:pStyle w:val="kar_paragraph"/>
      </w:pPr>
      <w:r>
        <w:t xml:space="preserve">(f)</w:t>
      </w:r>
      <w:r>
        <w:t xml:space="preserve"> </w:t>
      </w:r>
      <w:r>
        <w:t xml:space="preserve">Maintain patient records by establishing:</w:t>
      </w:r>
    </w:p>
    <w:p>
      <w:pPr>
        <w:pStyle w:val="kar_subparagraph"/>
      </w:pPr>
      <w:r>
        <w:t xml:space="preserve">1.</w:t>
      </w:r>
      <w:r>
        <w:t xml:space="preserve"> </w:t>
      </w:r>
      <w:r>
        <w:t xml:space="preserve">A patient record system to be maintained for patients for whom non-dispensing pharmacy services and functions are being performed;</w:t>
      </w:r>
    </w:p>
    <w:p>
      <w:pPr>
        <w:pStyle w:val="kar_subparagraph"/>
      </w:pPr>
      <w:r>
        <w:t xml:space="preserve">2.</w:t>
      </w:r>
      <w:r>
        <w:t xml:space="preserve"> </w:t>
      </w:r>
      <w:r>
        <w:t xml:space="preserve">A procedure for obtaining, recording, and maintaining information required for a patient record by a pharmacist, pharmacist intern, or pharmacy technician; and</w:t>
      </w:r>
    </w:p>
    <w:p>
      <w:pPr>
        <w:pStyle w:val="kar_subparagraph"/>
      </w:pPr>
      <w:r>
        <w:t xml:space="preserve">3.</w:t>
      </w:r>
      <w:r>
        <w:t xml:space="preserve"> </w:t>
      </w:r>
      <w:r>
        <w:t xml:space="preserve">A procedure for a patient record to be readily retrievable by manual or electronic means.</w:t>
      </w:r>
    </w:p>
    <w:p>
      <w:pPr>
        <w:pStyle w:val="kar_subsection"/>
      </w:pPr>
      <w:r>
        <w:t xml:space="preserve">(2)</w:t>
      </w:r>
      <w:r>
        <w:t xml:space="preserve"> </w:t>
      </w:r>
      <w:r>
        <w:t xml:space="preserve">An applicant for a special limited pharmacy permit - clinical practice shall be exempt from the following:</w:t>
      </w:r>
    </w:p>
    <w:p>
      <w:pPr>
        <w:pStyle w:val="kar_paragraph"/>
      </w:pPr>
      <w:r>
        <w:t xml:space="preserve">(a)</w:t>
      </w:r>
      <w:r>
        <w:t xml:space="preserve"> </w:t>
      </w:r>
      <w:r>
        <w:t xml:space="preserve">Prescription equipment requirements of 201 KAR 2:090, Section 1;</w:t>
      </w:r>
    </w:p>
    <w:p>
      <w:pPr>
        <w:pStyle w:val="kar_paragraph"/>
      </w:pPr>
      <w:r>
        <w:t xml:space="preserve">(b)</w:t>
      </w:r>
      <w:r>
        <w:t xml:space="preserve"> </w:t>
      </w:r>
      <w:r>
        <w:t xml:space="preserve">Pharmacy sanitation requirements of 201 KAR 2:180; and</w:t>
      </w:r>
    </w:p>
    <w:p>
      <w:pPr>
        <w:pStyle w:val="kar_paragraph"/>
      </w:pPr>
      <w:r>
        <w:t xml:space="preserve">(c)</w:t>
      </w:r>
      <w:r>
        <w:t xml:space="preserve"> </w:t>
      </w:r>
      <w:r>
        <w:t xml:space="preserve">Security and control of drugs and prescriptions requirements of 201 KAR 2:100, Sections 1, 2, 3, and 4.</w:t>
      </w:r>
    </w:p>
    <w:p>
      <w:pPr>
        <w:pStyle w:val="kar_section"/>
      </w:pPr>
      <w:r>
        <w:t xml:space="preserve">Section 3.</w:t>
      </w:r>
      <w:r>
        <w:t xml:space="preserve"> </w:t>
      </w:r>
      <w:r>
        <w:t xml:space="preserve">Pharmacy Closure. The permit holder shall provide notification to the board fifteen (15) days prior to permanent pharmacy closure.</w:t>
      </w:r>
    </w:p>
    <w:p>
      <w:pPr>
        <w:pStyle w:val="kar_section"/>
      </w:pPr>
      <w:r>
        <w:t xml:space="preserve">Section 4.</w:t>
      </w:r>
      <w:r>
        <w:t xml:space="preserve"> </w:t>
      </w:r>
      <w:r>
        <w:t xml:space="preserve">License Fees; Renewals. An applicant shall submit:</w:t>
      </w:r>
    </w:p>
    <w:p>
      <w:pPr>
        <w:pStyle w:val="kar_subsection"/>
      </w:pPr>
      <w:r>
        <w:t xml:space="preserve">(1)</w:t>
      </w:r>
      <w:r>
        <w:t xml:space="preserve"> </w:t>
      </w:r>
      <w:r>
        <w:t xml:space="preserve">An initial or renewal application for a special limited pharmacy permit - clinical practice on either the:</w:t>
      </w:r>
    </w:p>
    <w:p>
      <w:pPr>
        <w:pStyle w:val="kar_paragraph"/>
      </w:pPr>
      <w:r>
        <w:t xml:space="preserve">(a)</w:t>
      </w:r>
      <w:r>
        <w:t xml:space="preserve"> </w:t>
      </w:r>
      <w:r>
        <w:t xml:space="preserve"> </w:t>
      </w:r>
    </w:p>
    <w:p>
      <w:pPr>
        <w:pStyle w:val="kar_subparagraph"/>
      </w:pPr>
      <w:r>
        <w:t xml:space="preserve">1.</w:t>
      </w:r>
      <w:r>
        <w:t xml:space="preserve"> </w:t>
      </w:r>
      <w:r>
        <w:t xml:space="preserve">Application for Special Limited Pharmacy Permit - Clinical Practice; or</w:t>
      </w:r>
    </w:p>
    <w:p>
      <w:pPr>
        <w:pStyle w:val="kar_subparagraph"/>
      </w:pPr>
      <w:r>
        <w:t xml:space="preserve">2.</w:t>
      </w:r>
      <w:r>
        <w:t xml:space="preserve"> </w:t>
      </w:r>
      <w:r>
        <w:t xml:space="preserve"> Application for Special Limited Pharmacy Permit - Clinical Practice Renewal; or</w:t>
      </w:r>
    </w:p>
    <w:p>
      <w:pPr>
        <w:pStyle w:val="kar_paragraph"/>
      </w:pPr>
      <w:r>
        <w:t xml:space="preserve">(b)</w:t>
      </w:r>
      <w:r>
        <w:t xml:space="preserve"> </w:t>
      </w:r>
      <w:r>
        <w:t xml:space="preserve"> </w:t>
      </w:r>
    </w:p>
    <w:p>
      <w:pPr>
        <w:pStyle w:val="kar_subparagraph"/>
      </w:pPr>
      <w:r>
        <w:t xml:space="preserve">1.</w:t>
      </w:r>
      <w:r>
        <w:t xml:space="preserve"> </w:t>
      </w:r>
      <w:r>
        <w:t xml:space="preserve">Non-Resident Application for Special Limited Pharmacy Permit – Clinical Practice; or</w:t>
      </w:r>
    </w:p>
    <w:p>
      <w:pPr>
        <w:pStyle w:val="kar_subparagraph"/>
      </w:pPr>
      <w:r>
        <w:t xml:space="preserve">2.</w:t>
      </w:r>
      <w:r>
        <w:t xml:space="preserve"> </w:t>
      </w:r>
      <w:r>
        <w:t xml:space="preserve">Non-Resident Application for Special Limited Pharmacy Permit – Clinical Practice Renewal;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201 KAR 2:050, Section 1(9); or</w:t>
      </w:r>
    </w:p>
    <w:p>
      <w:pPr>
        <w:pStyle w:val="kar_paragraph"/>
      </w:pPr>
      <w:r>
        <w:t xml:space="preserve">(b)</w:t>
      </w:r>
      <w:r>
        <w:t xml:space="preserve"> </w:t>
      </w:r>
      <w:r>
        <w:t xml:space="preserve">Renewal application fee established by 201 KAR 2:050, Section 1(10).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Special Limited Pharmacy Permit - Clinical Practice", June 2023;</w:t>
      </w:r>
    </w:p>
    <w:p>
      <w:pPr>
        <w:pStyle w:val="kar_paragraph"/>
      </w:pPr>
      <w:r>
        <w:t xml:space="preserve">(b)</w:t>
      </w:r>
      <w:r>
        <w:t xml:space="preserve"> </w:t>
      </w:r>
      <w:r>
        <w:t xml:space="preserve">"Application for Special Limited Pharmacy Permit - Clinical Practice Renewal", June 2023;</w:t>
      </w:r>
    </w:p>
    <w:p>
      <w:pPr>
        <w:pStyle w:val="kar_paragraph"/>
      </w:pPr>
      <w:r>
        <w:t xml:space="preserve">(c)</w:t>
      </w:r>
      <w:r>
        <w:t xml:space="preserve"> </w:t>
      </w:r>
      <w:r>
        <w:t xml:space="preserve">"Non-Resident Application for Special Limited Pharmacy Permit – Clinical Practice", September 2023; and</w:t>
      </w:r>
    </w:p>
    <w:p>
      <w:pPr>
        <w:pStyle w:val="kar_paragraph"/>
      </w:pPr>
      <w:r>
        <w:t xml:space="preserve">(d)</w:t>
      </w:r>
      <w:r>
        <w:t xml:space="preserve"> </w:t>
      </w:r>
      <w:r>
        <w:t xml:space="preserve">"Non-Resident Application for Special Limited Pharmacy Permit – Clinical Practice Renewal", September 2023.</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8:00 a.m. to 4:30 p.m. This material is also available on the board's Web site at https://pharmacy.ky.gov/Businesses/Pages/Pharmacy.aspx.</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172; 458; eff. 9-19-2012; 45 Ky.R. 3462, 46 Ky.R. 414; eff. 8-19-2019; 50 Ky.R. 108, 1062;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898c2a072d4432" /><Relationship Type="http://schemas.openxmlformats.org/officeDocument/2006/relationships/settings" Target="/word/settings.xml" Id="Rda5840f2b8a34a2d" /></Relationships>
</file>