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6c2d8d64b470a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KENTUCKY HOUSING CORPORATION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202 KAR 2:020.</w:t>
      </w:r>
      <w:r>
        <w:t xml:space="preserve"> </w:t>
      </w:r>
      <w:r>
        <w:t xml:space="preserve">Rural Housing Trust Fund.</w:t>
      </w:r>
    </w:p>
    <w:p>
      <w:pPr>
        <w:pStyle w:val="kar_markup_metadata"/>
      </w:pPr>
      <w:r>
        <w:t xml:space="preserve">RELATES TO: </w:t>
      </w:r>
      <w:r>
        <w:t xml:space="preserve">KRS 198A.740 </w:t>
      </w:r>
      <w:r>
        <w:rPr>
          <w:b/>
          <w:i/>
          <w:u w:val="single"/>
        </w:rPr>
        <w:t xml:space="preserve">–</w:t>
      </w:r>
      <w:r>
        <w:t>[</w:t>
      </w:r>
      <w:r>
        <w:rPr>
          <w:b/>
          <w:i/>
          <w:strike w:val="true"/>
        </w:rPr>
        <w:t xml:space="preserve">to</w:t>
      </w:r>
      <w:r>
        <w:t>]</w:t>
      </w:r>
      <w:r>
        <w:t xml:space="preserve"> 198A.750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b/>
          <w:i/>
          <w:u w:val="single"/>
        </w:rPr>
        <w:t xml:space="preserve">198A.744, </w:t>
      </w:r>
      <w:r>
        <w:t xml:space="preserve">198A.746(5), 198A.748(5)</w:t>
      </w:r>
    </w:p>
    <w:p>
      <w:pPr>
        <w:pStyle w:val="kar_markup_metadata"/>
      </w:pPr>
      <w:r>
        <w:t xml:space="preserve">NECESSITY, FUNCTION, AND CONFORMITY: </w:t>
      </w:r>
      <w:r>
        <w:t xml:space="preserve">KRS 198A.744 authorizes Kentucky Housing Corporation to administer the Rural Housing Trust Fund by providing loans or grants for eligible activities, as established in KRS 198A.746, </w:t>
      </w:r>
      <w:r>
        <w:t>[</w:t>
      </w:r>
      <w:r>
        <w:rPr>
          <w:b/>
          <w:i/>
          <w:strike w:val="true"/>
        </w:rPr>
        <w:t xml:space="preserve">in order </w:t>
      </w:r>
      <w:r>
        <w:t>]</w:t>
      </w:r>
      <w:r>
        <w:t xml:space="preserve">to create new sources of funding or to supplement existing sources of funding for the development of housing for moderate-income individuals or families in rural areas. KRS 198A.746 authorizes Kentucky Housing Corporation to define relocation costs to be paid if the development of rural housing displaces moderate-income individuals or families. This administrative regulation </w:t>
      </w:r>
      <w:r>
        <w:rPr>
          <w:b/>
          <w:i/>
          <w:u w:val="single"/>
        </w:rPr>
        <w:t xml:space="preserve">establishes</w:t>
      </w:r>
      <w:r>
        <w:t>[</w:t>
      </w:r>
      <w:r>
        <w:rPr>
          <w:b/>
          <w:i/>
          <w:strike w:val="true"/>
        </w:rPr>
        <w:t xml:space="preserve">is necessary to establish</w:t>
      </w:r>
      <w:r>
        <w:t>]</w:t>
      </w:r>
      <w:r>
        <w:t xml:space="preserve"> additional criteria to qualify for the loans and grants and </w:t>
      </w:r>
      <w:r>
        <w:rPr>
          <w:b/>
          <w:i/>
          <w:u w:val="single"/>
        </w:rPr>
        <w:t xml:space="preserve">establishes</w:t>
      </w:r>
      <w:r>
        <w:t>[</w:t>
      </w:r>
      <w:r>
        <w:rPr>
          <w:b/>
          <w:i/>
          <w:strike w:val="true"/>
        </w:rPr>
        <w:t xml:space="preserve">to establish</w:t>
      </w:r>
      <w:r>
        <w:t>]</w:t>
      </w:r>
      <w:r>
        <w:t xml:space="preserve"> the procedures to be followed in paying relocation costs.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Qualification Criteria.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Applications shall be prioritized based on the priorities established in KRS 198A.748(6).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Single-family project applications shall be competitively ranked based on the following criteria: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Willingness to serve those in the most impacted and distressed disaster counties;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Readiness to proceed;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Number of units to be addressed by the project;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Demonstrated experience in development or repair of housing;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Projects to house disaster survivors still living in shelters, doubled up with family, or in another unsustainable housing situation;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Established relationships and mechanisms to ensure a pipeline of moderate-income homebuyer referrals;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Demonstrated expansion of capacity to develop at scale; and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Demonstrated financial capacity to carry out larger-scale housing projects.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Multifamily project applications shall be competitively ranked based on the following criteria: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Willingness to serve those in the most impacted and distressed western Kentucky disaster counties;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Readiness to proceed;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Experience in development of multifamily housing utilizing Kentucky Housing Corporation financing resources;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Demonstrated financial capacity to carry out larger-scale housing projects;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Projects awarded under the Kentucky Housing Corporation tax exempt bond notice of funding availability in accordance with the terms of </w:t>
      </w:r>
      <w:r>
        <w:rPr>
          <w:b/>
          <w:i/>
          <w:u w:val="single"/>
        </w:rPr>
        <w:t xml:space="preserve">the</w:t>
      </w:r>
      <w:r>
        <w:t>[</w:t>
      </w:r>
      <w:r>
        <w:rPr>
          <w:b/>
          <w:i/>
          <w:strike w:val="true"/>
        </w:rPr>
        <w:t xml:space="preserve">such</w:t>
      </w:r>
      <w:r>
        <w:t>]</w:t>
      </w:r>
      <w:r>
        <w:t xml:space="preserve"> notice of funding availability.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Approval of applications shall be based on the numerical ranking received and the availability of funds.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Relocation Costs. In the development of rural housing under the Rural Housing Trust Fund, displacement of moderate-income individuals or families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</w:rPr>
        <w:t xml:space="preserve">is</w:t>
      </w:r>
      <w:r>
        <w:t>]</w:t>
      </w:r>
      <w:r>
        <w:t xml:space="preserve"> not </w:t>
      </w:r>
      <w:r>
        <w:rPr>
          <w:b/>
          <w:i/>
          <w:u w:val="single"/>
        </w:rPr>
        <w:t xml:space="preserve">be </w:t>
      </w:r>
      <w:r>
        <w:t xml:space="preserve">permitted unless the project pays all reasonable relocation costs. Reasonable relocation costs shall be determined on a case-by-case basis based on the following criteria: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Provision of relocation advisory services to displaced tenants and owner occupants;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Provision of a minimum of ninety (90) days written notice to vacate prior to requiring possession;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Reimbursement for moving expenses;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Provision of payments for the added cost of renting or purchasing comparable replacement housing.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October 10, 2023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Samuel Thorner, General Counsel, Kentucky Housing Corporation, 1231 Louisville Road, Frankfort, Kentucky 40601, phone (502) 564-7630, fax (502) 564-7322, email sthorner@kyhousing.org.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d04c536f94f60" /><Relationship Type="http://schemas.openxmlformats.org/officeDocument/2006/relationships/settings" Target="/word/settings.xml" Id="R698abfd38b4747cc" /></Relationships>
</file>