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757d81d4bc4980"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commission veterinarian prior to the race and sent to a testing laboratory. If a hair sample taken by a commission veterinarian returns a positive finding, the horse shall be disqualified and the owner and trainer may incur penalties established in 810 KAR 8:030. 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When there is a scratch in a straightaway quarter horse race that has an also eligible list, the also eligible horse shall take the post position of the scratched horse. When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4410c8c2947fe" /><Relationship Type="http://schemas.openxmlformats.org/officeDocument/2006/relationships/settings" Target="/word/settings.xml" Id="R290deaf32ac647e2" /></Relationships>
</file>