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fd11fa49cf4fd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w:t>
      </w:r>
      <w:r>
        <w:rPr>
          <w:b/>
          <w:u w:val="single"/>
        </w:rPr>
        <w:t xml:space="preserve">wish to be temporarily or permanently excluded from gambling in the Commonwealth for any reason, such as self-identification as problem or compulsive gamblers.</w:t>
      </w:r>
      <w:r>
        <w:t>[</w:t>
      </w:r>
      <w:r>
        <w:rPr>
          <w:b/>
          <w:strike w:val="true"/>
        </w:rPr>
        <w:t xml:space="preserve">self-identify as problem or compulsive gamblers</w:t>
      </w:r>
      <w:r>
        <w:t>]</w:t>
      </w:r>
      <w:r>
        <w:t xml:space="preserve">.]</w:t>
      </w:r>
    </w:p>
    <w:p>
      <w:pPr>
        <w:pStyle w:val="kar_subsection"/>
      </w:pPr>
      <w:r>
        <w:t xml:space="preserve">(2)</w:t>
      </w:r>
      <w:r>
        <w:t xml:space="preserve"> </w:t>
      </w:r>
      <w:r>
        <w:t xml:space="preserve">The commission shall consider at least the following factors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prescribed by the racing commission.</w:t>
      </w:r>
    </w:p>
    <w:p>
      <w:pPr>
        <w:pStyle w:val="kar_subsection"/>
      </w:pPr>
      <w:r>
        <w:t xml:space="preserve">(6)</w:t>
      </w:r>
      <w:r>
        <w:t xml:space="preserve"> </w:t>
      </w:r>
      <w:r>
        <w:t xml:space="preserve">The licensee shall provide any newly-collected self-exclusion information to the racing commission on </w:t>
      </w:r>
      <w:r>
        <w:rPr>
          <w:b/>
          <w:u w:val="single"/>
        </w:rPr>
        <w:t xml:space="preserve">an as-needed basis, but at least weekly</w:t>
      </w:r>
      <w:r>
        <w:t>[</w:t>
      </w:r>
      <w:r>
        <w:rPr>
          <w:b/>
          <w:strike w:val="true"/>
        </w:rPr>
        <w:t xml:space="preserve">a monthly basis</w:t>
      </w:r>
      <w:r>
        <w:t>]</w:t>
      </w:r>
      <w:r>
        <w:t xml:space="preserve"> and in a manner approved by the racing commission.</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to 61.884.</w:t>
      </w:r>
    </w:p>
    <w:p>
      <w:pPr>
        <w:pStyle w:val="kar_subsection"/>
      </w:pPr>
      <w:r>
        <w:t xml:space="preserve">(11)</w:t>
      </w:r>
      <w:r>
        <w:t xml:space="preserve"> </w:t>
      </w:r>
      <w:r>
        <w:t xml:space="preserve">Self-exclusion information shall be kept confidential and shall not be disclosed except as necessary to enforce these administrative regulations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 compliance with racing commission regulations and its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is honored by the licensee.</w:t>
      </w:r>
    </w:p>
    <w:p>
      <w:pPr>
        <w:pStyle w:val="kar_subsection"/>
      </w:pPr>
      <w:r>
        <w:t xml:space="preserve">(2)</w:t>
      </w:r>
      <w:r>
        <w:t xml:space="preserve"> </w:t>
      </w:r>
      <w:r>
        <w:t xml:space="preserve">In approving the organizations and disclosures listed in the previous subsection,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w:t>
      </w:r>
      <w:r>
        <w:rPr>
          <w:b/>
          <w:u w:val="single"/>
        </w:rPr>
        <w:t xml:space="preserve">utilized in Kentucky </w:t>
      </w:r>
      <w:r>
        <w:t xml:space="preserve">is independently reviewed by a third party, pursuant to industry standards and performed by a third party approved by the racing commission. The racing commission may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For purposes of this subsection, an advertisement shall be misleading if the advertisement makes representations about average winnings without equally prominently representing the average net winnings of all patrons.</w:t>
      </w:r>
    </w:p>
    <w:p>
      <w:pPr>
        <w:pStyle w:val="kar_subsection"/>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may be incidentally received by) elementary, middle, or high schools.</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and maintains a voluntary self-exclusion list, requires tracks and/or their service providers to provide a commission-approved responsible gaming program, and precludes false or misleading advertising.</w:t>
      </w:r>
    </w:p>
    <w:p>
      <w:pPr>
        <w:pStyle w:val="kar_normal"/>
        <w:ind w:left="576"/>
      </w:pPr>
      <w:r>
        <w:t xml:space="preserve">(b) The necessity of this administrative regulation:</w:t>
      </w:r>
    </w:p>
    <w:p>
      <w:pPr>
        <w:pStyle w:val="kar_normal"/>
        <w:ind w:left="720"/>
      </w:pPr>
      <w:r>
        <w:t xml:space="preserve">This regulation is necessary to provide specific rules concerning responsible gaming and advertising.</w:t>
      </w:r>
    </w:p>
    <w:p>
      <w:pPr>
        <w:pStyle w:val="kar_normal"/>
        <w:ind w:left="576"/>
      </w:pPr>
      <w:r>
        <w:t xml:space="preserve">(c) How this administrative regulation conforms to the content of the authorizing statutes:</w:t>
      </w:r>
    </w:p>
    <w:p>
      <w:pPr>
        <w:pStyle w:val="kar_normal"/>
        <w:ind w:left="720"/>
      </w:pPr>
      <w:r>
        <w:t xml:space="preserve">KRS 230.260(15) requires the commission to “promulgate administrative regulations establishing a self-exclusion list for individuals who self-identify as being problem or compulsive gamers.” KRS 230.260(16) requires the commission to “promulgate administrative regulations to establish standards for the conduct of sports wagering.”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statutes by ensuring that sports wagering providers establish a voluntary self-exclusion list for problem or compulsive gamblers. It also ensures that providers maintain a responsible gaming program. Finally, this regulation ensures that sports wagering providers avoid engaging in false or misleading advertising practices.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 This regulation affects the licensed tracks that apply for and receive a license to conduct sports wagering in the Commonwealth. There are currently nine (9) licensed tracks operating in the Commonwealth. (b) Each track is allowed to contract with up to three (3) service providers. Therefore, up to 27 service providers may be affected by the definitions in this regulation. (c) Additionally, there are an unknown number of patrons who will be impacted by the voluntary self-exclusion list and responsible gaming program. (d) Finally, there is an unknown number of Kentuckians who will be impacted by the ban on false or misleading sports wagering advertising.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tracks offering sports wagering and service providers must establish a self-exclusion program and a commission-approved responsible gaming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are unknown, but should be minimal. Kentucky’s licensed tracks already have individualized self-exclusion programs. They will simply report those names to the Commission for inclusion in a confidential state database shared by other tracks, pursuant to KRS 230.260(15). The costs of establishing a responsible gaming program to the commission’s specifications will also be minimal, as it will primarily consist of conspicuous postings and disclosures regarding assistance programs for problem or compulsive gamblers.</w:t>
      </w:r>
    </w:p>
    <w:p>
      <w:pPr>
        <w:pStyle w:val="kar_normal"/>
        <w:ind w:left="576"/>
      </w:pPr>
      <w:r>
        <w:t xml:space="preserve">(c) As a result of compliance, what benefits will accrue to the entities identified in question (3):</w:t>
      </w:r>
    </w:p>
    <w:p>
      <w:pPr>
        <w:pStyle w:val="kar_normal"/>
        <w:ind w:left="720"/>
      </w:pPr>
      <w:r>
        <w:t xml:space="preserve">Tracks will benefit from having clear standards for their voluntary self-exclusion and responsible gaming programs. Patrons will benefit from being able to take advantage of self-exclusion and responsible gaming programs. Kentuckians will benefit from the avoidance of false or misleading advertising.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 No additional funding is required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230.260(15) and (16) require or authorize the actions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sports wagering account regulation will not generate revenue during the first full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sports wagering account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subsequent years.</w:t>
      </w:r>
    </w:p>
    <w:p>
      <w:pPr>
        <w:pStyle w:val="kar_normal"/>
        <w:ind w:left="576"/>
      </w:pPr>
      <w:r>
        <w:t xml:space="preserve">(c) How much will it cost the regulated entities for the first year?</w:t>
      </w:r>
    </w:p>
    <w:p>
      <w:pPr>
        <w:pStyle w:val="kar_normal"/>
        <w:ind w:left="720"/>
      </w:pPr>
      <w:r>
        <w:t xml:space="preserve">Costs for the first year are unknown, but should be minimal. Kentucky’s licensed tracks already have individualized self-exclusion programs. They will simply report those names to the Commission for inclusion in a confidential state database shared by other tracks, pursuant to KRS 230.260(15). The costs of establishing a responsible gaming program to the commission’s specifications will also be minimal, as it will primarily consist of conspicuous postings and disclosures regarding assistance programs for problem or compulsive gamblers.</w:t>
      </w:r>
    </w:p>
    <w:p>
      <w:pPr>
        <w:pStyle w:val="kar_normal"/>
        <w:ind w:left="576"/>
      </w:pPr>
      <w:r>
        <w:t xml:space="preserve">(d) How much will it cost the regulated entities for subsequent years?</w:t>
      </w:r>
    </w:p>
    <w:p>
      <w:pPr>
        <w:pStyle w:val="kar_normal"/>
        <w:ind w:left="720"/>
      </w:pPr>
      <w:r>
        <w:t xml:space="preserve">Costs for subsequent years are unknown, but should be minimal. Kentucky’s licensed tracks already have individualized self-exclusion programs. They will simply report those names to the Commission for inclusion in a confidential state database shared by other tracks, pursuant to KRS 230.260(15). The costs of establishing a responsible gaming program to the commission’s specifications will also be minimal, as it will primarily consist of conspicuous postings and disclosures regarding assistance programs for problem or compulsive gamblers.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Minimal, as set forth above in (4)(c) and (d).</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dc72102445426e" /><Relationship Type="http://schemas.openxmlformats.org/officeDocument/2006/relationships/settings" Target="/word/settings.xml" Id="R886cc000eb3e4fe6" /></Relationships>
</file>