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508a8fd0e04380" /></Relationships>
</file>

<file path=word/document.xml><?xml version="1.0" encoding="utf-8"?>
<w:document xmlns:w="http://schemas.openxmlformats.org/wordprocessingml/2006/main">
  <w:body>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 Home Infusion and the 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 Home Infusion", Infusion Nurses Society, Second Edition, 2021; and</w:t>
      </w:r>
    </w:p>
    <w:p>
      <w:pPr>
        <w:pStyle w:val="kar_paragraph"/>
      </w:pPr>
      <w:r>
        <w:t xml:space="preserve">(b)</w:t>
      </w:r>
      <w:r>
        <w:t xml:space="preserve"> </w:t>
      </w:r>
      <w:r>
        <w:t xml:space="preserve">"Infusion Therapy: Standards of Practice", Infusion Nurses Society, Eighth Edition, 2021.</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 Links to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2585; 31 Ky.R. 369; 546; eff. 9-15-2004; 32 Ky.R. 2324; 33 Ky.R. 382; eff. 9-1-2006; 36 Ky.R. 2073-A; 2312; eff. 6-15-2010; TAm eff. 7-15-2010; 37 Ky.R. 2446; 2830; eff. 6-15-2011; 38 Ky.R. 1764; 1945; eff. 6-20-2012; 45 Ky.R. 415, 948; eff. 11-2-2018; 49 Ky.R. 420, 1056; eff. 11-15-2022;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91c954344f4cc3" /><Relationship Type="http://schemas.openxmlformats.org/officeDocument/2006/relationships/settings" Target="/word/settings.xml" Id="Rc5e4fc1f73fc418b" /></Relationships>
</file>