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16f668c15f74f54" /></Relationships>
</file>

<file path=word/document.xml><?xml version="1.0" encoding="utf-8"?>
<w:document xmlns:w="http://schemas.openxmlformats.org/wordprocessingml/2006/main">
  <w:body>
    <w:p>
      <w:pPr>
        <w:pStyle w:val="kar_markup_header"/>
      </w:pPr>
      <w:r>
        <w:t xml:space="preserve">GENERAL GOVERNMENT CABINET</w:t>
      </w:r>
    </w:p>
    <w:p>
      <w:pPr>
        <w:pStyle w:val="kar_markup_header"/>
      </w:pPr>
      <w:r>
        <w:t xml:space="preserve">Board of Licensed Professional Counselors</w:t>
      </w:r>
    </w:p>
    <w:p>
      <w:pPr>
        <w:pStyle w:val="kar_markup_header"/>
        <w:ind w:firstLine="0"/>
      </w:pPr>
      <w:r>
        <w:t>(Amended After Comments)</w:t>
      </w:r>
    </w:p>
    <w:p>
      <w:pPr>
        <w:pStyle w:val="kar_citation"/>
      </w:pPr>
      <w:r>
        <w:t>201 KAR 36:090.</w:t>
      </w:r>
      <w:r>
        <w:t xml:space="preserve"> </w:t>
      </w:r>
      <w:r>
        <w:t xml:space="preserve">Administrative hearings for denials and revocation of </w:t>
      </w:r>
      <w:r>
        <w:rPr>
          <w:b/>
          <w:u w:val="single"/>
        </w:rPr>
        <w:t xml:space="preserve">probation</w:t>
      </w:r>
      <w:r>
        <w:t>[</w:t>
      </w:r>
      <w:r>
        <w:rPr>
          <w:b/>
          <w:strike w:val="true"/>
          <w:u w:val="single"/>
        </w:rPr>
        <w:t xml:space="preserve">probated sanction</w:t>
      </w:r>
      <w:r>
        <w:t>]</w:t>
      </w:r>
      <w:r>
        <w:t>[</w:t>
      </w:r>
      <w:r>
        <w:rPr>
          <w:b/>
          <w:strike w:val="true"/>
        </w:rPr>
        <w:t xml:space="preserve">probation]</w:t>
      </w:r>
      <w:r>
        <w:t>]</w:t>
      </w:r>
      <w:r>
        <w:t xml:space="preserve">.</w:t>
      </w:r>
    </w:p>
    <w:p>
      <w:pPr>
        <w:pStyle w:val="kar_markup_metadata"/>
      </w:pPr>
      <w:r>
        <w:t xml:space="preserve">RELATES TO: </w:t>
      </w:r>
      <w:r>
        <w:t xml:space="preserve">KRS 335.515(3), (4), 335.545</w:t>
      </w:r>
    </w:p>
    <w:p>
      <w:pPr>
        <w:pStyle w:val="kar_markup_metadata"/>
      </w:pPr>
      <w:r>
        <w:t xml:space="preserve">STATUTORY AUTHORITY: </w:t>
      </w:r>
      <w:r>
        <w:t xml:space="preserve">KRS 335.515(3), (4), (7)</w:t>
      </w:r>
    </w:p>
    <w:p>
      <w:pPr>
        <w:pStyle w:val="kar_markup_metadata"/>
      </w:pPr>
      <w:r>
        <w:t xml:space="preserve">NECESSITY, FUNCTION, AND CONFORMITY: </w:t>
      </w:r>
      <w:r>
        <w:t xml:space="preserve">KRS 335.515(3) requires the board to promulgate administrative regulations necessary to carry out and enforce the provisions of KRS 335.500 to 335.599. KRS 335.515(4) requires the board to conduct administrative hearings as necessary pursuant to KRS Chapter 13B. This administrative regulation establishes the procedures for an individual to request an administrative hearing from the denial of or refusal to renew or reinstate a license, or revocation of a probated sanction.</w:t>
      </w:r>
    </w:p>
    <w:p>
      <w:pPr>
        <w:pStyle w:val="kar_section"/>
      </w:pPr>
      <w:r>
        <w:t xml:space="preserve">Section 1.</w:t>
      </w:r>
      <w:r>
        <w:t xml:space="preserve"> </w:t>
      </w:r>
      <w:r>
        <w:t xml:space="preserve">Right of Administrative Hearing from a Denial of or Refusal to Renew or Reinstate a License.</w:t>
      </w:r>
    </w:p>
    <w:p>
      <w:pPr>
        <w:pStyle w:val="kar_subsection"/>
      </w:pPr>
      <w:r>
        <w:t xml:space="preserve">(1)</w:t>
      </w:r>
      <w:r>
        <w:t xml:space="preserve"> </w:t>
      </w:r>
      <w:r>
        <w:t xml:space="preserve">The board shall issue written notice of the denial informing the applicant:</w:t>
      </w:r>
    </w:p>
    <w:p>
      <w:pPr>
        <w:pStyle w:val="kar_paragraph"/>
      </w:pPr>
      <w:r>
        <w:t xml:space="preserve">(a)</w:t>
      </w:r>
      <w:r>
        <w:t xml:space="preserve"> </w:t>
      </w:r>
      <w:r>
        <w:t xml:space="preserve">Of the specific reason for the board's action, including:</w:t>
      </w:r>
    </w:p>
    <w:p>
      <w:pPr>
        <w:pStyle w:val="kar_subparagraph"/>
      </w:pPr>
      <w:r>
        <w:t xml:space="preserve">1.</w:t>
      </w:r>
      <w:r>
        <w:t xml:space="preserve"> </w:t>
      </w:r>
      <w:r>
        <w:t xml:space="preserve">The statutory or regulatory violation; and</w:t>
      </w:r>
    </w:p>
    <w:p>
      <w:pPr>
        <w:pStyle w:val="kar_subparagraph"/>
      </w:pPr>
      <w:r>
        <w:t xml:space="preserve">2.</w:t>
      </w:r>
      <w:r>
        <w:t xml:space="preserve"> </w:t>
      </w:r>
      <w:r>
        <w:t xml:space="preserve">The factual basis on which the denial is based; and</w:t>
      </w:r>
    </w:p>
    <w:p>
      <w:pPr>
        <w:pStyle w:val="kar_paragraph"/>
      </w:pPr>
      <w:r>
        <w:t xml:space="preserve">(b)</w:t>
      </w:r>
      <w:r>
        <w:t xml:space="preserve"> </w:t>
      </w:r>
      <w:r>
        <w:t xml:space="preserve">That the applicant may appeal the pending denial to the board within twenty (20) calendar days after receipt of this notification, excluding the day he or she receives notice, or the date that the notification is returned to the board as unclaimed.</w:t>
      </w:r>
    </w:p>
    <w:p>
      <w:pPr>
        <w:pStyle w:val="kar_subsection"/>
      </w:pPr>
      <w:r>
        <w:t xml:space="preserve">(2)</w:t>
      </w:r>
      <w:r>
        <w:t xml:space="preserve"> </w:t>
      </w:r>
      <w:r>
        <w:t xml:space="preserve">A written request for an administrative hearing shall be filed with the board within twenty (20) calendar days after receipt of this notification, excluding the day he or she receives notice, or the date that the notification is returned to the board as unclaimed The request shall identify the specific issues in dispute and the legal basis on which the board's decision on each issue is believed to be erroneous.</w:t>
      </w:r>
    </w:p>
    <w:p>
      <w:pPr>
        <w:pStyle w:val="kar_subsection"/>
      </w:pPr>
      <w:r>
        <w:t xml:space="preserve">(3)</w:t>
      </w:r>
      <w:r>
        <w:t xml:space="preserve"> </w:t>
      </w:r>
      <w:r>
        <w:t xml:space="preserve">If the request for an appeal is not timely filed, the notice of denial shall be effective upon the expiration of the time for the certificate holder to request an appeal.</w:t>
      </w:r>
    </w:p>
    <w:p>
      <w:pPr>
        <w:pStyle w:val="kar_subsection"/>
      </w:pPr>
      <w:r>
        <w:t xml:space="preserve">(4)</w:t>
      </w:r>
      <w:r>
        <w:t xml:space="preserve"> </w:t>
      </w:r>
      <w:r>
        <w:t xml:space="preserve">The documentary evidence shall be limited to the application and supporting documents submitted to the board during the application process and that was considered as part of the denial of the application.</w:t>
      </w:r>
    </w:p>
    <w:p>
      <w:pPr>
        <w:pStyle w:val="kar_subsection"/>
      </w:pPr>
      <w:r>
        <w:t xml:space="preserve">(5)</w:t>
      </w:r>
      <w:r>
        <w:t xml:space="preserve"> </w:t>
      </w:r>
      <w:r>
        <w:t xml:space="preserve">A renewal applicant may petition the board, in writing, for a stay of the denial of the license until completion of the administrative hearing process.</w:t>
      </w:r>
    </w:p>
    <w:p>
      <w:pPr>
        <w:pStyle w:val="kar_section"/>
      </w:pPr>
      <w:r>
        <w:t xml:space="preserve">Section 2.</w:t>
      </w:r>
      <w:r>
        <w:t xml:space="preserve"> </w:t>
      </w:r>
      <w:r>
        <w:t xml:space="preserve">Revocation of </w:t>
      </w:r>
      <w:r>
        <w:rPr>
          <w:b/>
          <w:u w:val="single"/>
        </w:rPr>
        <w:t xml:space="preserve">Probation</w:t>
      </w:r>
      <w:r>
        <w:t>[</w:t>
      </w:r>
      <w:r>
        <w:rPr>
          <w:b/>
          <w:strike w:val="true"/>
          <w:u w:val="single"/>
        </w:rPr>
        <w:t xml:space="preserve">Probated Sanction</w:t>
      </w:r>
      <w:r>
        <w:t>]</w:t>
      </w:r>
      <w:r>
        <w:t>[</w:t>
      </w:r>
      <w:r>
        <w:rPr>
          <w:strike w:val="true"/>
        </w:rPr>
        <w:t xml:space="preserve">Probation</w:t>
      </w:r>
      <w:r>
        <w:t>]</w:t>
      </w:r>
      <w:r>
        <w:t xml:space="preserve">.</w:t>
      </w:r>
    </w:p>
    <w:p>
      <w:pPr>
        <w:pStyle w:val="kar_subsection"/>
      </w:pPr>
      <w:r>
        <w:t xml:space="preserve">(1)</w:t>
      </w:r>
      <w:r>
        <w:t xml:space="preserve"> </w:t>
      </w:r>
      <w:r>
        <w:t xml:space="preserve">If the board moves to revoke </w:t>
      </w:r>
      <w:r>
        <w:rPr>
          <w:b/>
          <w:u w:val="single"/>
        </w:rPr>
        <w:t xml:space="preserve">probation</w:t>
      </w:r>
      <w:r>
        <w:t>[</w:t>
      </w:r>
      <w:r>
        <w:rPr>
          <w:b/>
          <w:strike w:val="true"/>
          <w:u w:val="single"/>
        </w:rPr>
        <w:t xml:space="preserve">a probated sanction</w:t>
      </w:r>
      <w:r>
        <w:t>]</w:t>
      </w:r>
      <w:r>
        <w:t>[</w:t>
      </w:r>
      <w:r>
        <w:rPr>
          <w:strike w:val="true"/>
        </w:rPr>
        <w:t xml:space="preserve">probation</w:t>
      </w:r>
      <w:r>
        <w:t>]</w:t>
      </w:r>
      <w:r>
        <w:t xml:space="preserve">, the board shall issue written notice of the revocation and inform the probationee:</w:t>
      </w:r>
    </w:p>
    <w:p>
      <w:pPr>
        <w:pStyle w:val="kar_paragraph"/>
      </w:pPr>
      <w:r>
        <w:t xml:space="preserve">(a)</w:t>
      </w:r>
      <w:r>
        <w:t xml:space="preserve"> </w:t>
      </w:r>
      <w:r>
        <w:t xml:space="preserve">Of the factual basis on which the revocation is based;</w:t>
      </w:r>
    </w:p>
    <w:p>
      <w:pPr>
        <w:pStyle w:val="kar_paragraph"/>
      </w:pPr>
      <w:r>
        <w:t xml:space="preserve">(b)</w:t>
      </w:r>
      <w:r>
        <w:t xml:space="preserve"> </w:t>
      </w:r>
      <w:r>
        <w:t xml:space="preserve">Of each probation term violated;</w:t>
      </w:r>
    </w:p>
    <w:p>
      <w:pPr>
        <w:pStyle w:val="kar_paragraph"/>
      </w:pPr>
      <w:r>
        <w:t xml:space="preserve">(c)</w:t>
      </w:r>
      <w:r>
        <w:t xml:space="preserve"> </w:t>
      </w:r>
      <w:r>
        <w:t xml:space="preserve">Of the sanction to be imposed; and</w:t>
      </w:r>
    </w:p>
    <w:p>
      <w:pPr>
        <w:pStyle w:val="kar_paragraph"/>
      </w:pPr>
      <w:r>
        <w:t xml:space="preserve">(d)</w:t>
      </w:r>
      <w:r>
        <w:t xml:space="preserve"> </w:t>
      </w:r>
      <w:r>
        <w:t xml:space="preserve">That the probationee may appeal the revocation to the board within twenty (20) calendar days after receipt of this notification, excluding the day he or she receives notice, or the date that the notification is returned to the board as unclaimed. The notification shall be sent to the last known address on file with the board for the certificate holder.</w:t>
      </w:r>
    </w:p>
    <w:p>
      <w:pPr>
        <w:pStyle w:val="kar_subsection"/>
      </w:pPr>
      <w:r>
        <w:t xml:space="preserve">(2)</w:t>
      </w:r>
      <w:r>
        <w:t xml:space="preserve"> </w:t>
      </w:r>
      <w:r>
        <w:t xml:space="preserve">A written request for an administrative hearing shall be filed with the board within twenty (20) calendar days after receipt of this notification, excluding the day he or she receives notice, or the date that the notification is returned to the board as unclaimed. The request shall identify the specific issues in dispute and the legal basis on which the board's decision on each issue is believed to be erroneous.</w:t>
      </w:r>
    </w:p>
    <w:p>
      <w:pPr>
        <w:pStyle w:val="kar_subsection"/>
      </w:pPr>
      <w:r>
        <w:t xml:space="preserve">(3)</w:t>
      </w:r>
      <w:r>
        <w:t xml:space="preserve"> </w:t>
      </w:r>
      <w:r>
        <w:t xml:space="preserve">If the request for an administrative hearing is not timely filed, the revocation shall be effective upon the expiration date for the certificate holder to request an appeal.</w:t>
      </w:r>
    </w:p>
    <w:p>
      <w:pPr>
        <w:pStyle w:val="kar_section"/>
      </w:pPr>
      <w:r>
        <w:t xml:space="preserve">Section 3.</w:t>
      </w:r>
      <w:r>
        <w:t xml:space="preserve"> </w:t>
      </w:r>
      <w:r>
        <w:t xml:space="preserve">A request for an administrative hearing shall be sent to the Kentucky Board of Licensed Professional Counselors by mail to P.O. Box 1360, Frankfort, Kentucky 40602 or by hand-delivery to </w:t>
      </w:r>
      <w:r>
        <w:rPr>
          <w:u w:val="single"/>
        </w:rPr>
        <w:t xml:space="preserve">500 Mero Street</w:t>
      </w:r>
      <w:r>
        <w:t>[</w:t>
      </w:r>
      <w:r>
        <w:rPr>
          <w:strike w:val="true"/>
        </w:rPr>
        <w:t xml:space="preserve">911 Leawood Drive</w:t>
      </w:r>
      <w:r>
        <w:t>]</w:t>
      </w:r>
      <w:r>
        <w:t xml:space="preserve">, Frankfort, Kentucky 40601.</w:t>
      </w:r>
    </w:p>
    <w:p>
      <w:pPr>
        <w:pStyle w:val="kar_section"/>
      </w:pPr>
      <w:r>
        <w:t xml:space="preserve">Section 4.</w:t>
      </w:r>
      <w:r>
        <w:t xml:space="preserve"> </w:t>
      </w:r>
      <w:r>
        <w:t xml:space="preserve">An administrative hearing shall be governed in accordance with KRS Chapter 13B.</w:t>
      </w:r>
    </w:p>
    <w:p>
      <w:pPr>
        <w:pStyle w:val="kar_section"/>
      </w:pPr>
      <w:r>
        <w:t xml:space="preserve">Section 5.</w:t>
      </w:r>
      <w:r>
        <w:t xml:space="preserve"> </w:t>
      </w:r>
      <w:r>
        <w:t xml:space="preserve">If the final order of the board is adverse to a licensee or applicant, or if the hearing is scheduled at the request of a licensee or applicant for relief from sanctions previously imposed by the board, the costs in an amount equal to the cost of stenographic services, the cost of the hearing officer, and the board's attorney fees </w:t>
      </w:r>
      <w:r>
        <w:rPr>
          <w:u w:val="single"/>
        </w:rPr>
        <w:t xml:space="preserve">may</w:t>
      </w:r>
      <w:r>
        <w:t>[</w:t>
      </w:r>
      <w:r>
        <w:rPr>
          <w:strike w:val="true"/>
        </w:rPr>
        <w:t xml:space="preserve">shall</w:t>
      </w:r>
      <w:r>
        <w:t>]</w:t>
      </w:r>
      <w:r>
        <w:t xml:space="preserve"> be assessed against the licensee or applicant. In a case of financial hardship, the board may waive all or part of the fee.</w:t>
      </w:r>
    </w:p>
    <w:p>
      <w:pPr>
        <w:pStyle w:val="kar_signature"/>
      </w:pPr>
      <w:r>
        <w:t xml:space="preserve">DR. HANNAH COYT; Board Chair</w:t>
      </w:r>
    </w:p>
    <w:p>
      <w:pPr>
        <w:pStyle w:val="kar_normal"/>
      </w:pPr>
      <w:r>
        <w:t xml:space="preserve"/>
      </w:r>
    </w:p>
    <w:p>
      <w:pPr>
        <w:pStyle w:val="kar_approved_by"/>
      </w:pPr>
      <w:r>
        <w:t xml:space="preserve">APPROVED BY AGENCY: December 11, 2023</w:t>
      </w:r>
    </w:p>
    <w:p>
      <w:pPr>
        <w:pStyle w:val="kar_filed"/>
      </w:pPr>
      <w:r>
        <w:t xml:space="preserve">FILED WITH LRC: December 13, 2023 at 3:30 p.m.</w:t>
      </w:r>
    </w:p>
    <w:p>
      <w:pPr>
        <w:pStyle w:val="kar_normal"/>
      </w:pPr>
      <w:r>
        <w:t xml:space="preserve"/>
      </w:r>
    </w:p>
    <w:p>
      <w:pPr>
        <w:pStyle w:val="kar_form_name"/>
      </w:pPr>
      <w:r>
        <w:t xml:space="preserve">REGULATORY IMPACT ANALYSIS AND TIERING STATEMENT</w:t>
      </w:r>
    </w:p>
    <w:p>
      <w:pPr>
        <w:pStyle w:val="kar_normal"/>
        <w:ind w:left="0"/>
      </w:pPr>
      <w:r>
        <w:t xml:space="preserve">Contact Person:</w:t>
      </w:r>
      <w:r>
        <w:t xml:space="preserve"> Sara Boswell Janes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due process procedures for a denial of, refusal to renew, or reinstate a license and revocation of a probated sanction. It also sets out the scope of what a hearing officer may consider and imposes costs on an individual who fails to reverse the decision of the board on a denial of, refusal to renew, or reinstate a license and revocation of a probated sanction</w:t>
      </w:r>
    </w:p>
    <w:p>
      <w:pPr>
        <w:pStyle w:val="kar_normal"/>
        <w:ind w:left="576"/>
      </w:pPr>
      <w:r>
        <w:t xml:space="preserve">(b) The necessity of this administrative regulation:</w:t>
      </w:r>
    </w:p>
    <w:p>
      <w:pPr>
        <w:pStyle w:val="kar_normal"/>
        <w:ind w:left="720"/>
      </w:pPr>
      <w:r>
        <w:t xml:space="preserve">The necessity of this regulation is to establish due process procedures.</w:t>
      </w:r>
    </w:p>
    <w:p>
      <w:pPr>
        <w:pStyle w:val="kar_normal"/>
        <w:ind w:left="576"/>
      </w:pPr>
      <w:r>
        <w:t xml:space="preserve">(c) How this administrative regulation conforms to the content of the authorizing statutes:</w:t>
      </w:r>
    </w:p>
    <w:p>
      <w:pPr>
        <w:pStyle w:val="kar_normal"/>
        <w:ind w:left="720"/>
      </w:pPr>
      <w:r>
        <w:t xml:space="preserve">The regulation is in conformity with KRS 335.515(3) which authorizes the board to promulgate regulations the denial, renewal, reinstatement, and revocation of a probation.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assists in establishing the procedure and requirements for the denial, renewal, reinstatement, and revocation of a probation.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makes application of a fine discretionary and contains a technical amendment to correct the physical address of the Board.</w:t>
      </w:r>
    </w:p>
    <w:p>
      <w:pPr>
        <w:pStyle w:val="kar_normal"/>
        <w:ind w:left="576"/>
      </w:pPr>
      <w:r>
        <w:t xml:space="preserve">(b) The necessity of the amendment to this administrative regulation:</w:t>
      </w:r>
    </w:p>
    <w:p>
      <w:pPr>
        <w:pStyle w:val="kar_normal"/>
        <w:ind w:left="720"/>
      </w:pPr>
      <w:r>
        <w:t xml:space="preserve">The amendment is necessary to make imposition of a fine discretionary and to make a technical correction to the address of the Board.</w:t>
      </w:r>
    </w:p>
    <w:p>
      <w:pPr>
        <w:pStyle w:val="kar_normal"/>
        <w:ind w:left="576"/>
      </w:pPr>
      <w:r>
        <w:t xml:space="preserve">(c) How the amendment conforms to the content of the authorizing statutes:</w:t>
      </w:r>
    </w:p>
    <w:p>
      <w:pPr>
        <w:pStyle w:val="kar_normal"/>
        <w:ind w:left="720"/>
      </w:pPr>
      <w:r>
        <w:t xml:space="preserve">See (1)(c).</w:t>
      </w:r>
    </w:p>
    <w:p>
      <w:pPr>
        <w:pStyle w:val="kar_normal"/>
        <w:ind w:left="576"/>
      </w:pPr>
      <w:r>
        <w:t xml:space="preserve">(d) How the amendment will assist in the effective administration of the statutes:</w:t>
      </w:r>
    </w:p>
    <w:p>
      <w:pPr>
        <w:pStyle w:val="kar_normal"/>
        <w:ind w:left="720"/>
      </w:pPr>
      <w:r>
        <w:t xml:space="preserve">Licensees will understand the term probation in the context of board discipline, clarify the board’s discretion in imposing fines and have the current physical address of the Board.</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4017 active and 56 inactive licensees who may be affected by the terminology relating to probated sanctions and the physical address of the board, and also any member of the public who may have redress over the actions or inactions of licensees of the board who will know the physical location of the Board.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 licensee will have to take no additional action to comply with the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new cost associated to the amendments</w:t>
      </w:r>
    </w:p>
    <w:p>
      <w:pPr>
        <w:pStyle w:val="kar_normal"/>
        <w:ind w:left="576"/>
      </w:pPr>
      <w:r>
        <w:t xml:space="preserve">(c) As a result of compliance, what benefits will accrue to the entities identified in question (3):</w:t>
      </w:r>
    </w:p>
    <w:p>
      <w:pPr>
        <w:pStyle w:val="kar_normal"/>
        <w:ind w:left="720"/>
      </w:pPr>
      <w:r>
        <w:t xml:space="preserve">Stakeholders will know the current location of the Board.</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new costs will be incurred by the changes</w:t>
      </w:r>
    </w:p>
    <w:p>
      <w:pPr>
        <w:pStyle w:val="kar_normal"/>
        <w:ind w:left="576"/>
      </w:pPr>
      <w:r>
        <w:t xml:space="preserve">(b) On a continuing basis:</w:t>
      </w:r>
    </w:p>
    <w:p>
      <w:pPr>
        <w:pStyle w:val="kar_normal"/>
        <w:ind w:left="720"/>
      </w:pPr>
      <w:r>
        <w:t xml:space="preserve">No new costs will be incurred by the changes.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board’s operations are funded by fees paid by credential holders and applicants.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required to implement the changes made by this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establishes no new fee.</w:t>
      </w:r>
    </w:p>
    <w:p>
      <w:pPr>
        <w:pStyle w:val="kar_normal"/>
        <w:ind w:left="288"/>
      </w:pPr>
      <w:r>
        <w:t xml:space="preserve">(9) TIERING: Is tiering applied?</w:t>
      </w:r>
    </w:p>
    <w:p>
      <w:pPr>
        <w:pStyle w:val="kar_normal"/>
        <w:ind w:left="432"/>
      </w:pPr>
      <w:r>
        <w:t xml:space="preserve">This regulation does not distinguish between similarly situated individuals on the basis of any factor.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Kentucky Board of Licensed Professional Counselors.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335.515(3), (4), (7)</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There are no additional costs to administer this program.</w:t>
      </w:r>
    </w:p>
    <w:p>
      <w:pPr>
        <w:pStyle w:val="kar_normal"/>
        <w:ind w:left="576"/>
      </w:pPr>
      <w:r>
        <w:t xml:space="preserve">(d) How much will it cost to administer this program for subsequent years?</w:t>
      </w:r>
    </w:p>
    <w:p>
      <w:pPr>
        <w:pStyle w:val="kar_normal"/>
        <w:ind w:left="720"/>
      </w:pPr>
      <w:r>
        <w:t xml:space="preserve">See 3(c).</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None.</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None.</w:t>
      </w:r>
    </w:p>
    <w:p>
      <w:pPr>
        <w:pStyle w:val="kar_normal"/>
        <w:ind w:left="576"/>
      </w:pPr>
      <w:r>
        <w:t xml:space="preserve">(c) How much will it cost the regulated entities for the first year?</w:t>
      </w:r>
    </w:p>
    <w:p>
      <w:pPr>
        <w:pStyle w:val="kar_normal"/>
        <w:ind w:left="576"/>
      </w:pPr>
      <w:r>
        <w:t xml:space="preserve">(d) How much will it cost the regulated entities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None</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f5ac7b8203945bd" /><Relationship Type="http://schemas.openxmlformats.org/officeDocument/2006/relationships/settings" Target="/word/settings.xml" Id="R37f072c0404245a6" /></Relationships>
</file>