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ab4c7add4428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w:t>
      </w:r>
      <w:r>
        <w:rPr>
          <w:u w:val="single"/>
        </w:rPr>
        <w:t xml:space="preserve">323A.110(2)</w:t>
      </w:r>
      <w:r>
        <w:t>[</w:t>
      </w:r>
      <w:r>
        <w:rPr>
          <w:strike w:val="true"/>
        </w:rPr>
        <w:t xml:space="preserve">323A.110(1)(b)</w:t>
      </w:r>
      <w:r>
        <w:t>]</w:t>
      </w:r>
      <w:r>
        <w:t xml:space="preserve"> authorizes the board to discipline a licensee for unprofessional conduct. KRS 323A.210 authorizes the board to adopt reasonable administrative regulations not inconsistent with KRS Chapter 323A but which are necessary to carry out the provisions of KRS Chapter 323A. This code of ethics is intended to establish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w:t>
      </w:r>
      <w:r>
        <w:rPr>
          <w:u w:val="single"/>
        </w:rPr>
        <w:t xml:space="preserve">KRS 323A.110(2)</w:t>
      </w:r>
      <w:r>
        <w:t>[</w:t>
      </w:r>
      <w:r>
        <w:rPr>
          <w:strike w:val="true"/>
        </w:rPr>
        <w:t xml:space="preserve">KRS 323A.110(1)(b)</w:t>
      </w:r>
      <w:r>
        <w:t>]</w:t>
      </w:r>
      <w:r>
        <w:t xml:space="preserve">.</w:t>
      </w:r>
    </w:p>
    <w:p>
      <w:pPr>
        <w:pStyle w:val="kar_subsection"/>
      </w:pPr>
      <w:r>
        <w:t xml:space="preserve">(2)</w:t>
      </w:r>
      <w:r>
        <w:t xml:space="preserve"> </w:t>
      </w:r>
      <w:r>
        <w:t xml:space="preserve">The landscape architect shall conduct his practice in order to protect the life, health, property and welfare of the public and shall at all times recognize that his primary obligation is to protect the life, health, property and welfare of the public in the performance of his professional duties. If his landscape architectural judgment is overruled under circumstances where the safety, health and welfare of the public are endangered, he shall inform his employer of the possible consequences and notify any other proper authority of the situation, as may be appropriate.</w:t>
      </w:r>
    </w:p>
    <w:p>
      <w:pPr>
        <w:pStyle w:val="kar_subsection"/>
      </w:pPr>
      <w:r>
        <w:t xml:space="preserve">(3)</w:t>
      </w:r>
      <w:r>
        <w:t xml:space="preserve"> </w:t>
      </w:r>
      <w:r>
        <w:t xml:space="preserve">The landscape architect shall perform his services only in areas of his competence.</w:t>
      </w:r>
    </w:p>
    <w:p>
      <w:pPr>
        <w:pStyle w:val="kar_paragraph"/>
      </w:pPr>
      <w:r>
        <w:t xml:space="preserve">(a)</w:t>
      </w:r>
      <w:r>
        <w:t xml:space="preserve"> </w:t>
      </w:r>
      <w:r>
        <w:t xml:space="preserve">The landscape architect shall perform landscape architectural assignments only when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 own field of competence, but only to the extent that his services are restricted to those phases of the project in which he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 signature or seal to any landscape architectural plan or document dealing with subject matter to which he lacks competence by virtue of education or experience, or to any such plan or document not prepared under his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 employer or client and shall promptly inform his employer or client of any business association, interests, or circumstances which could influence his judgment or the quality of his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unless the circumstances are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gratuities, directly or indirectly, from contractors, their agents, or other parties dealing with his client or employer in connection with work for which he is responsible;</w:t>
      </w:r>
    </w:p>
    <w:p>
      <w:pPr>
        <w:pStyle w:val="kar_paragraph"/>
      </w:pPr>
      <w:r>
        <w:t xml:space="preserve">(e)</w:t>
      </w:r>
      <w:r>
        <w:t xml:space="preserve"> </w:t>
      </w:r>
      <w:r>
        <w:t xml:space="preserve">When in public service as a member, advisor, or employee of a governmental body or department, the landscape architect shall not participate in considerations or actions with respect to services provided by him or his organization in private landscape architectural practices;</w:t>
      </w:r>
    </w:p>
    <w:p>
      <w:pPr>
        <w:pStyle w:val="kar_paragraph"/>
      </w:pPr>
      <w:r>
        <w:t xml:space="preserve">(f)</w:t>
      </w:r>
      <w:r>
        <w:t xml:space="preserve"> </w:t>
      </w:r>
      <w:r>
        <w:t xml:space="preserve">The landscape architect shall not solicit or accept a landscape architectural contract from a governmental body on which a principal or officer of his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 and he shall not accept a commission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securing salaried positions through employment agencies.</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his, or his associates', academic or professional qualifications. He shall not misrepresent or exaggerate his degree of responsibility in or for the subject matter of prior assignments. Brochures or other presentations incident to the solicitation of employment shall not misrepresent pertinent facts concerning employers, employees, associates, joint ventures, or his or their past accomplishments with the intent and purpose of enhancing his qualifications and his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 name or firm in a business venture by any person or firm which he knows, or has reason to believe, is engaging in business or professional practices of a fraudulent or dishonest nature, or in violation of these administrative regulations; or</w:t>
      </w:r>
    </w:p>
    <w:p>
      <w:pPr>
        <w:pStyle w:val="kar_paragraph"/>
      </w:pPr>
      <w:r>
        <w:t xml:space="preserve">(b)</w:t>
      </w:r>
      <w:r>
        <w:t xml:space="preserve"> </w:t>
      </w:r>
      <w:r>
        <w:t xml:space="preserve">If the landscape architect has knowledge or reason to believe that another person or firm may be in violation of any of these provisions or KRS Chapter 323A, he shall present that information to the board in writing and shall cooperate with the board in furnishing any further information or assistance as may be required by the board.</w:t>
      </w:r>
    </w:p>
    <w:p>
      <w:pPr>
        <w:pStyle w:val="kar_signature"/>
      </w:pPr>
      <w:r>
        <w:t xml:space="preserve">GARY R. WONITZEK, President</w:t>
      </w:r>
    </w:p>
    <w:p>
      <w:pPr>
        <w:pStyle w:val="kar_normal"/>
      </w:pPr>
      <w:r>
        <w:t xml:space="preserve"/>
      </w:r>
    </w:p>
    <w:p>
      <w:pPr>
        <w:pStyle w:val="kar_approved_by"/>
      </w:pPr>
      <w:r>
        <w:t xml:space="preserve">APPROVED BY AGENCY: January 8, 2024</w:t>
      </w:r>
    </w:p>
    <w:p>
      <w:pPr>
        <w:pStyle w:val="kar_filed"/>
      </w:pPr>
      <w:r>
        <w:t xml:space="preserve">FILED WITH LRC: January 8, 2024 at 2:45 p.m.</w:t>
      </w:r>
    </w:p>
    <w:p>
      <w:pPr>
        <w:pStyle w:val="kar_normal"/>
      </w:pPr>
      <w:r>
        <w:t xml:space="preserve"/>
      </w:r>
    </w:p>
    <w:p>
      <w:pPr>
        <w:pStyle w:val="kar_comment_period"/>
      </w:pPr>
      <w:r>
        <w:t xml:space="preserve">PUBLIC HEARING AND PUBLIC COMMENT PERIOD: A public hearing on this administrative regulation shall be held on March 22, 2024 at 10:30 a.m. Eastern Time at the office of the Kentucky Board of Landscape Architects, 2365 Harrodsburg Road, Suite B350, Lexington,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Jane Alexander, Executive Director, Kentucky Board of Landscape Architects, 2365 Harrodsburg Road, Suite B350, Lexington, Kentucky, phone (859) 246-2753, email ky.labd@ky.gov.</w:t>
      </w:r>
    </w:p>
    <w:p>
      <w:pPr>
        <w:pStyle w:val="kar_form_name"/>
      </w:pPr>
      <w:r>
        <w:t xml:space="preserve">REGULATORY IMPACT ANALYSIS AND TIERING STATEMENT</w:t>
      </w:r>
    </w:p>
    <w:p>
      <w:pPr>
        <w:pStyle w:val="kar_normal"/>
        <w:ind w:left="0"/>
      </w:pPr>
      <w:r>
        <w:t xml:space="preserve">Contact Person:</w:t>
      </w:r>
      <w:r>
        <w:t xml:space="preserve"> Jane Alexander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a code of ethics for landscape architects.</w:t>
      </w:r>
    </w:p>
    <w:p>
      <w:pPr>
        <w:pStyle w:val="kar_normal"/>
        <w:ind w:left="576"/>
      </w:pPr>
      <w:r>
        <w:t xml:space="preserve">(b) The necessity of this administrative regulation:</w:t>
      </w:r>
    </w:p>
    <w:p>
      <w:pPr>
        <w:pStyle w:val="kar_normal"/>
        <w:ind w:left="720"/>
      </w:pPr>
      <w:r>
        <w:t xml:space="preserve">It is necessary to establish guidelines for unprofessional conduct for the protection of the public.</w:t>
      </w:r>
    </w:p>
    <w:p>
      <w:pPr>
        <w:pStyle w:val="kar_normal"/>
        <w:ind w:left="576"/>
      </w:pPr>
      <w:r>
        <w:t xml:space="preserve">(c) How this administrative regulation conforms to the content of the authorizing statutes:</w:t>
      </w:r>
    </w:p>
    <w:p>
      <w:pPr>
        <w:pStyle w:val="kar_normal"/>
        <w:ind w:left="720"/>
      </w:pPr>
      <w:r>
        <w:t xml:space="preserve">It is authorized by KRS 323A.210(2)(b).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a code of ethics to be followed by Landscape Architects.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corrects an incorrect statutory citation.</w:t>
      </w:r>
    </w:p>
    <w:p>
      <w:pPr>
        <w:pStyle w:val="kar_normal"/>
        <w:ind w:left="576"/>
      </w:pPr>
      <w:r>
        <w:t xml:space="preserve">(b) The necessity of the amendment to this administrative regulation:</w:t>
      </w:r>
    </w:p>
    <w:p>
      <w:pPr>
        <w:pStyle w:val="kar_normal"/>
        <w:ind w:left="720"/>
      </w:pPr>
      <w:r>
        <w:t xml:space="preserve">The error needed to be corrected.</w:t>
      </w:r>
    </w:p>
    <w:p>
      <w:pPr>
        <w:pStyle w:val="kar_normal"/>
        <w:ind w:left="576"/>
      </w:pPr>
      <w:r>
        <w:t xml:space="preserve">(c) How the amendment conforms to the content of the authorizing statutes:</w:t>
      </w:r>
    </w:p>
    <w:p>
      <w:pPr>
        <w:pStyle w:val="kar_normal"/>
        <w:ind w:left="720"/>
      </w:pPr>
      <w:r>
        <w:t xml:space="preserve">By correcting an error.</w:t>
      </w:r>
    </w:p>
    <w:p>
      <w:pPr>
        <w:pStyle w:val="kar_normal"/>
        <w:ind w:left="576"/>
      </w:pPr>
      <w:r>
        <w:t xml:space="preserve">(d) How the amendment will assist in the effective administration of the statutes:</w:t>
      </w:r>
    </w:p>
    <w:p>
      <w:pPr>
        <w:pStyle w:val="kar_normal"/>
        <w:ind w:left="720"/>
      </w:pPr>
      <w:r>
        <w:t xml:space="preserve">By correcting an error.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Landscape Architects, approximately 325.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are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N/A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amendment affects everyone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Landscape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323A.210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c5b6be5ce4745" /><Relationship Type="http://schemas.openxmlformats.org/officeDocument/2006/relationships/settings" Target="/word/settings.xml" Id="Ra5a1381f0ce242fb" /></Relationships>
</file>