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d1ec7cc9a1464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(Amendment)</w:t>
      </w:r>
    </w:p>
    <w:p>
      <w:pPr>
        <w:pStyle w:val="kar_citation"/>
      </w:pPr>
      <w:r>
        <w:t>201 KAR 10:070.</w:t>
      </w:r>
      <w:r>
        <w:t xml:space="preserve"> </w:t>
      </w:r>
      <w:r>
        <w:t xml:space="preserve">Seals.</w:t>
      </w:r>
    </w:p>
    <w:p>
      <w:pPr>
        <w:pStyle w:val="kar_markup_metadata"/>
      </w:pPr>
      <w:r>
        <w:t xml:space="preserve">RELATES TO: </w:t>
      </w:r>
      <w:r>
        <w:t xml:space="preserve">KRS 323A.080</w:t>
      </w:r>
    </w:p>
    <w:p>
      <w:pPr>
        <w:pStyle w:val="kar_markup_metadata"/>
      </w:pPr>
      <w:r>
        <w:t xml:space="preserve">STATUTORY AUTHORITY: </w:t>
      </w:r>
      <w:r>
        <w:t xml:space="preserve">KRS 323A.080, 323A.210</w:t>
      </w:r>
    </w:p>
    <w:p>
      <w:pPr>
        <w:pStyle w:val="kar_markup_metadata"/>
      </w:pPr>
      <w:r>
        <w:t xml:space="preserve">NECESSITY, FUNCTION, AND CONFORMITY: </w:t>
      </w:r>
      <w:r>
        <w:t xml:space="preserve">KRS 323A.080 requires that a licensed landscape architect secure an embossed circular seal of the design prescribed by the administrative regulation of the board and that a working drawing, specification or report prepared by, or under the supervision of, the individual, partnership, or firm bear the imprint of the seal. This administrative regulation prescribes the design and size of the required seal.</w:t>
      </w:r>
    </w:p>
    <w:p>
      <w:pPr>
        <w:pStyle w:val="kar_section"/>
      </w:pPr>
      <w:r>
        <w:t xml:space="preserve">Section 1.</w:t>
      </w:r>
      <w:r>
        <w:t xml:space="preserve"> </w:t>
      </w:r>
      <w:r>
        <w:t xml:space="preserve">Licensees' Seal. The seal required by KRS 323A.080 shall:</w:t>
      </w:r>
    </w:p>
    <w:p>
      <w:pPr>
        <w:pStyle w:val="kar_subsection"/>
      </w:pPr>
      <w:r>
        <w:t xml:space="preserve">(1)</w:t>
      </w:r>
      <w:r>
        <w:t xml:space="preserve"> </w:t>
      </w:r>
      <w:r>
        <w:t xml:space="preserve">Be two (2) inches in diameter; and</w:t>
      </w:r>
    </w:p>
    <w:p>
      <w:pPr>
        <w:pStyle w:val="kar_subsection"/>
      </w:pPr>
      <w:r>
        <w:t xml:space="preserve">(2)</w:t>
      </w:r>
      <w:r>
        <w:t xml:space="preserve"> </w:t>
      </w:r>
      <w:r>
        <w:t xml:space="preserve">Contain the following information in the impression of the seal:</w:t>
      </w:r>
    </w:p>
    <w:p>
      <w:pPr>
        <w:pStyle w:val="kar_paragraph"/>
      </w:pPr>
      <w:r>
        <w:t xml:space="preserve">(a)</w:t>
      </w:r>
      <w:r>
        <w:t xml:space="preserve"> </w:t>
      </w:r>
      <w:r>
        <w:t xml:space="preserve">The words "State of Kentucky" at the top between the two (2) knurled circles;</w:t>
      </w:r>
    </w:p>
    <w:p>
      <w:pPr>
        <w:pStyle w:val="kar_paragraph"/>
      </w:pPr>
      <w:r>
        <w:t xml:space="preserve">(b)</w:t>
      </w:r>
      <w:r>
        <w:t xml:space="preserve"> </w:t>
      </w:r>
      <w:r>
        <w:t xml:space="preserve">The words "</w:t>
      </w:r>
      <w:r>
        <w:rPr>
          <w:u w:val="single"/>
        </w:rPr>
        <w:t xml:space="preserve">Licensed</w:t>
      </w:r>
      <w:r>
        <w:t>[</w:t>
      </w:r>
      <w:r>
        <w:rPr>
          <w:strike w:val="true"/>
        </w:rPr>
        <w:t xml:space="preserve">Registered</w:t>
      </w:r>
      <w:r>
        <w:t>]</w:t>
      </w:r>
      <w:r>
        <w:t xml:space="preserve"> Landscape Architect" in a like position at the bottom;</w:t>
      </w:r>
    </w:p>
    <w:p>
      <w:pPr>
        <w:pStyle w:val="kar_paragraph"/>
      </w:pPr>
      <w:r>
        <w:t xml:space="preserve">(c)</w:t>
      </w:r>
      <w:r>
        <w:t xml:space="preserve"> </w:t>
      </w:r>
      <w:r>
        <w:t xml:space="preserve">The individual's name placed horizontally in the circular field; and</w:t>
      </w:r>
    </w:p>
    <w:p>
      <w:pPr>
        <w:pStyle w:val="kar_paragraph"/>
      </w:pPr>
      <w:r>
        <w:t xml:space="preserve">(d)</w:t>
      </w:r>
      <w:r>
        <w:t xml:space="preserve"> </w:t>
      </w:r>
      <w:r>
        <w:t xml:space="preserve">The individual's </w:t>
      </w:r>
      <w:r>
        <w:rPr>
          <w:u w:val="single"/>
        </w:rPr>
        <w:t xml:space="preserve">license</w:t>
      </w:r>
      <w:r>
        <w:t>[</w:t>
      </w:r>
      <w:r>
        <w:rPr>
          <w:strike w:val="true"/>
        </w:rPr>
        <w:t xml:space="preserve">certificate</w:t>
      </w:r>
      <w:r>
        <w:t>]</w:t>
      </w:r>
      <w:r>
        <w:t xml:space="preserve"> number placed horizontally beneath the name.</w:t>
      </w:r>
    </w:p>
    <w:p>
      <w:pPr>
        <w:pStyle w:val="kar_section"/>
      </w:pPr>
      <w:r>
        <w:rPr>
          <w:u w:val="single"/>
        </w:rPr>
        <w:t xml:space="preserve">Section 2.</w:t>
      </w:r>
      <w:r>
        <w:t xml:space="preserve"> </w:t>
      </w:r>
      <w:r>
        <w:t xml:space="preserve"> </w:t>
      </w:r>
    </w:p>
    <w:p>
      <w:pPr>
        <w:pStyle w:val="kar_subsection"/>
      </w:pPr>
      <w:r>
        <w:rPr>
          <w:u w:val="single"/>
        </w:rPr>
        <w:t xml:space="preserve">(1)</w:t>
      </w:r>
      <w:r>
        <w:t xml:space="preserve"> </w:t>
      </w:r>
      <w:r>
        <w:rPr>
          <w:u w:val="single"/>
        </w:rPr>
        <w:t xml:space="preserve">The seal shall be either:</w:t>
      </w:r>
    </w:p>
    <w:p>
      <w:pPr>
        <w:pStyle w:val="kar_paragraph"/>
      </w:pPr>
      <w:r>
        <w:rPr>
          <w:u w:val="single"/>
        </w:rPr>
        <w:t xml:space="preserve">(a)</w:t>
      </w:r>
      <w:r>
        <w:t xml:space="preserve"> </w:t>
      </w:r>
      <w:r>
        <w:rPr>
          <w:u w:val="single"/>
        </w:rPr>
        <w:t xml:space="preserve">An individual embossing seal;</w:t>
      </w:r>
    </w:p>
    <w:p>
      <w:pPr>
        <w:pStyle w:val="kar_paragraph"/>
      </w:pPr>
      <w:r>
        <w:rPr>
          <w:u w:val="single"/>
        </w:rPr>
        <w:t xml:space="preserve">(b)</w:t>
      </w:r>
      <w:r>
        <w:t xml:space="preserve"> </w:t>
      </w:r>
      <w:r>
        <w:rPr>
          <w:u w:val="single"/>
        </w:rPr>
        <w:t xml:space="preserve">A rubber stamp seal; or</w:t>
      </w:r>
    </w:p>
    <w:p>
      <w:pPr>
        <w:pStyle w:val="kar_paragraph"/>
      </w:pPr>
      <w:r>
        <w:rPr>
          <w:u w:val="single"/>
        </w:rPr>
        <w:t xml:space="preserve">(c)</w:t>
      </w:r>
      <w:r>
        <w:t xml:space="preserve"> </w:t>
      </w:r>
      <w:r>
        <w:rPr>
          <w:u w:val="single"/>
        </w:rPr>
        <w:t xml:space="preserve">An electronically generated seal.</w:t>
      </w:r>
    </w:p>
    <w:p>
      <w:pPr>
        <w:pStyle w:val="kar_subsection"/>
      </w:pPr>
      <w:r>
        <w:rPr>
          <w:u w:val="single"/>
        </w:rPr>
        <w:t xml:space="preserve">(2)</w:t>
      </w:r>
      <w:r>
        <w:t xml:space="preserve"> </w:t>
      </w:r>
      <w:r>
        <w:rPr>
          <w:u w:val="single"/>
        </w:rPr>
        <w:t xml:space="preserve">An electronically generated seal shall be used only when the following requirements are met:</w:t>
      </w:r>
    </w:p>
    <w:p>
      <w:pPr>
        <w:pStyle w:val="kar_paragraph"/>
      </w:pPr>
      <w:r>
        <w:rPr>
          <w:u w:val="single"/>
        </w:rPr>
        <w:t xml:space="preserve">(a)</w:t>
      </w:r>
      <w:r>
        <w:t xml:space="preserve"> </w:t>
      </w:r>
      <w:r>
        <w:rPr>
          <w:u w:val="single"/>
        </w:rPr>
        <w:t xml:space="preserve">It is a unique identification of the landscape architect;</w:t>
      </w:r>
    </w:p>
    <w:p>
      <w:pPr>
        <w:pStyle w:val="kar_paragraph"/>
      </w:pPr>
      <w:r>
        <w:rPr>
          <w:u w:val="single"/>
        </w:rPr>
        <w:t xml:space="preserve">(b)</w:t>
      </w:r>
      <w:r>
        <w:t xml:space="preserve"> </w:t>
      </w:r>
      <w:r>
        <w:rPr>
          <w:u w:val="single"/>
        </w:rPr>
        <w:t xml:space="preserve">It is verifiable;</w:t>
      </w:r>
    </w:p>
    <w:p>
      <w:pPr>
        <w:pStyle w:val="kar_paragraph"/>
      </w:pPr>
      <w:r>
        <w:rPr>
          <w:u w:val="single"/>
        </w:rPr>
        <w:t xml:space="preserve">(c)</w:t>
      </w:r>
      <w:r>
        <w:t xml:space="preserve"> </w:t>
      </w:r>
      <w:r>
        <w:rPr>
          <w:u w:val="single"/>
        </w:rPr>
        <w:t xml:space="preserve">It is under the landscape architect's direct and sole control;</w:t>
      </w:r>
    </w:p>
    <w:p>
      <w:pPr>
        <w:pStyle w:val="kar_paragraph"/>
      </w:pPr>
      <w:r>
        <w:rPr>
          <w:u w:val="single"/>
        </w:rPr>
        <w:t xml:space="preserve">(d)</w:t>
      </w:r>
      <w:r>
        <w:t xml:space="preserve"> </w:t>
      </w:r>
      <w:r>
        <w:rPr>
          <w:u w:val="single"/>
        </w:rPr>
        <w:t xml:space="preserve">It is linked to a document in such a manner that changes are readily determined and visually displayed if any data contained in the document file was changed subsequent to the electronically generated seal having been affixed to the document;</w:t>
      </w:r>
    </w:p>
    <w:p>
      <w:pPr>
        <w:pStyle w:val="kar_paragraph"/>
      </w:pPr>
      <w:r>
        <w:rPr>
          <w:u w:val="single"/>
        </w:rPr>
        <w:t xml:space="preserve">(e)</w:t>
      </w:r>
      <w:r>
        <w:t xml:space="preserve"> </w:t>
      </w:r>
      <w:r>
        <w:rPr>
          <w:u w:val="single"/>
        </w:rPr>
        <w:t xml:space="preserve">Changes to the document after affixing the electronically generated seal cause the seal to be removed or altered in such a way as to invalidate the seal; and</w:t>
      </w:r>
    </w:p>
    <w:p>
      <w:pPr>
        <w:pStyle w:val="kar_paragraph"/>
      </w:pPr>
      <w:r>
        <w:rPr>
          <w:u w:val="single"/>
        </w:rPr>
        <w:t xml:space="preserve">(f)</w:t>
      </w:r>
      <w:r>
        <w:t xml:space="preserve"> </w:t>
      </w:r>
      <w:r>
        <w:rPr>
          <w:u w:val="single"/>
        </w:rPr>
        <w:t xml:space="preserve">Once the seal is applied to the document, the document shall be available in a view-only format.</w:t>
      </w:r>
    </w:p>
    <w:p>
      <w:pPr>
        <w:pStyle w:val="kar_signature"/>
      </w:pPr>
      <w:r>
        <w:t xml:space="preserve">GARY R. WONITZEK, President</w:t>
      </w:r>
    </w:p>
    <w:p>
      <w:pPr>
        <w:pStyle w:val="kar_normal"/>
      </w:pPr>
      <w:r>
        <w:t xml:space="preserve"/>
      </w:r>
    </w:p>
    <w:p>
      <w:pPr>
        <w:pStyle w:val="kar_approved_by"/>
      </w:pPr>
      <w:r>
        <w:t xml:space="preserve">APPROVED BY AGENCY: January 8, 2024</w:t>
      </w:r>
    </w:p>
    <w:p>
      <w:pPr>
        <w:pStyle w:val="kar_filed"/>
      </w:pPr>
      <w:r>
        <w:t xml:space="preserve">FILED WITH LRC: January 8, 2024 at 2:45 p.m.</w:t>
      </w:r>
    </w:p>
    <w:p>
      <w:pPr>
        <w:pStyle w:val="kar_normal"/>
      </w:pPr>
      <w:r>
        <w:t xml:space="preserve"/>
      </w:r>
    </w:p>
    <w:p>
      <w:pPr>
        <w:pStyle w:val="kar_comment_period"/>
      </w:pPr>
      <w:r>
        <w:t xml:space="preserve">PUBLIC HEARING AND PUBLIC COMMENT PERIOD: A public hearing on this administrative regulation shall be held on March 22, 2024 at 10:30 a.m. Eastern Time at the office of the Kentucky Board of Landscape Architects, 2365 Harrodsburg Road, Suite B350, Lexington,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Jane Alexander, Executive Director, Kentucky Board of Landscape Architects, 2365 Harrodsburg Road, Suite B350, Lexington, Kentucky, phone (859) 246-2753, email ky.labd@ky.gov.</w:t>
      </w:r>
    </w:p>
    <w:p>
      <w:pPr>
        <w:pStyle w:val="kar_form_name"/>
      </w:pPr>
      <w:r>
        <w:t xml:space="preserve">REGULATORY IMPACT ANALYSIS AND TIERING STATEMENT</w:t>
      </w:r>
    </w:p>
    <w:p>
      <w:pPr>
        <w:pStyle w:val="kar_normal"/>
        <w:ind w:left="0"/>
      </w:pPr>
      <w:r>
        <w:t xml:space="preserve">Contact Person:</w:t>
      </w:r>
      <w:r>
        <w:t xml:space="preserve"> Jane Alexander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fees.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720"/>
      </w:pPr>
      <w:r>
        <w:t xml:space="preserve">It is authorized by KRS 323A.210(2)(b).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clarifies which fees are to be paid annually.</w:t>
      </w:r>
    </w:p>
    <w:p>
      <w:pPr>
        <w:pStyle w:val="kar_normal"/>
        <w:ind w:left="576"/>
      </w:pPr>
      <w:r>
        <w:t xml:space="preserve">(b) The necessity of the amendment to this administrative regulation:</w:t>
      </w:r>
    </w:p>
    <w:p>
      <w:pPr>
        <w:pStyle w:val="kar_normal"/>
        <w:ind w:left="720"/>
      </w:pPr>
      <w:r>
        <w:t xml:space="preserve">The administrative regulation needed to be updated.</w:t>
      </w:r>
    </w:p>
    <w:p>
      <w:pPr>
        <w:pStyle w:val="kar_normal"/>
        <w:ind w:left="576"/>
      </w:pPr>
      <w:r>
        <w:t xml:space="preserve">(c) How the amendment conforms to the content of the authorizing statutes:</w:t>
      </w:r>
    </w:p>
    <w:p>
      <w:pPr>
        <w:pStyle w:val="kar_normal"/>
        <w:ind w:left="720"/>
      </w:pPr>
      <w:r>
        <w:t xml:space="preserve">The authorizing statute permits the amendment.</w:t>
      </w:r>
    </w:p>
    <w:p>
      <w:pPr>
        <w:pStyle w:val="kar_normal"/>
        <w:ind w:left="576"/>
      </w:pPr>
      <w:r>
        <w:t xml:space="preserve">(d) How the amendment will assist in the effective administration of the statutes:</w:t>
      </w:r>
    </w:p>
    <w:p>
      <w:pPr>
        <w:pStyle w:val="kar_normal"/>
        <w:ind w:left="720"/>
      </w:pPr>
      <w:r>
        <w:t xml:space="preserve">By clarifying which fees are to be paid annually.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a as a Landscape Architect, both new and renewal,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in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other than the application fee.</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beyond the regular operating costs of the agency.</w:t>
      </w:r>
    </w:p>
    <w:p>
      <w:pPr>
        <w:pStyle w:val="kar_normal"/>
        <w:ind w:left="576"/>
      </w:pPr>
      <w:r>
        <w:t xml:space="preserve">(b) On a continuing basis:</w:t>
      </w:r>
    </w:p>
    <w:p>
      <w:pPr>
        <w:pStyle w:val="kar_normal"/>
        <w:ind w:left="720"/>
      </w:pPr>
      <w:r>
        <w:t xml:space="preserve">See (a)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was not applied as the amendment affects everyone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Landscape Architects.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323A.080, KRS 323A.210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will be no additional costs beyond the general operating budget of the agency.</w:t>
      </w:r>
    </w:p>
    <w:p>
      <w:pPr>
        <w:pStyle w:val="kar_normal"/>
        <w:ind w:left="576"/>
      </w:pPr>
      <w:r>
        <w:t xml:space="preserve">(d) How much will it cost to administer this program for subsequent years?</w:t>
      </w:r>
    </w:p>
    <w:p>
      <w:pPr>
        <w:pStyle w:val="kar_normal"/>
        <w:ind w:left="720"/>
      </w:pPr>
      <w:r>
        <w:t xml:space="preserve">See (c)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cc2c422c3f4ab4" /><Relationship Type="http://schemas.openxmlformats.org/officeDocument/2006/relationships/settings" Target="/word/settings.xml" Id="Rf77bf60cda564bcd" /></Relationships>
</file>