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7939f7d597436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(Amendment)</w:t>
      </w:r>
    </w:p>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w:t>
      </w:r>
      <w:r>
        <w:t>[</w:t>
      </w:r>
      <w:r>
        <w:rPr>
          <w:strike w:val="true"/>
        </w:rPr>
        <w:t xml:space="preserve"> for which a charge is customarily billed separately from the per diem rate </w:t>
      </w:r>
      <w:r>
        <w:t>]</w:t>
      </w:r>
      <w:r>
        <w:t xml:space="preserve">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t xml:space="preserve">Laboratory procedures; or</w:t>
      </w:r>
    </w:p>
    <w:p>
      <w:pPr>
        <w:pStyle w:val="kar_subparagraph"/>
      </w:pPr>
      <w:r>
        <w:t xml:space="preserve">2.</w:t>
      </w:r>
      <w:r>
        <w:t xml:space="preserve"> </w:t>
      </w:r>
      <w:r>
        <w:t xml:space="preserve">X-rays.</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3.0 data classified through the </w:t>
      </w:r>
      <w:r>
        <w:rPr>
          <w:u w:val="single"/>
        </w:rPr>
        <w:t xml:space="preserve">Patient Driven Payment Model (PDPM)</w:t>
      </w:r>
      <w:r>
        <w:t>[</w:t>
      </w:r>
      <w:r>
        <w:rPr>
          <w:strike w:val="true"/>
        </w:rPr>
        <w:t xml:space="preserve">RUG III, M3 p1, (version 5.20) thirty-four (34) group model</w:t>
      </w:r>
      <w:r>
        <w:t>]</w:t>
      </w:r>
      <w:r>
        <w:t xml:space="preserve">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14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w:t>
      </w:r>
      <w:r>
        <w:rPr>
          <w:u w:val="single"/>
        </w:rPr>
        <w:t xml:space="preserve">CoreLogic Commercial Express</w:t>
      </w:r>
      <w:r>
        <w:t>[</w:t>
      </w:r>
      <w:r>
        <w:rPr>
          <w:strike w:val="true"/>
        </w:rPr>
        <w:t xml:space="preserve">#5200 model of the Marshall &amp; Swift Boeckh Building</w:t>
      </w:r>
      <w:r>
        <w:t>]</w:t>
      </w:r>
      <w:r>
        <w:t xml:space="preserve"> Valuation System </w:t>
      </w:r>
      <w:r>
        <w:t>[</w:t>
      </w:r>
      <w:r>
        <w:rPr>
          <w:strike w:val="true"/>
        </w:rPr>
        <w:t xml:space="preserve">(BVS) </w:t>
      </w:r>
      <w:r>
        <w:t>]</w:t>
      </w:r>
      <w:r>
        <w:t xml:space="preserve">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w:t>
      </w:r>
      <w:r>
        <w:rPr>
          <w:u w:val="single"/>
        </w:rPr>
        <w:t xml:space="preserve">fifty (50)</w:t>
      </w:r>
      <w:r>
        <w:t>[</w:t>
      </w:r>
      <w:r>
        <w:rPr>
          <w:strike w:val="true"/>
        </w:rPr>
        <w:t xml:space="preserve">thirty (30)</w:t>
      </w:r>
      <w:r>
        <w:t>]</w:t>
      </w:r>
      <w:r>
        <w:t xml:space="preserve">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rPr>
          <w:u w:val="single"/>
        </w:rPr>
        <w:t xml:space="preserve">Eleven (11)</w:t>
      </w:r>
      <w:r>
        <w:t>[</w:t>
      </w:r>
      <w:r>
        <w:rPr>
          <w:strike w:val="true"/>
        </w:rPr>
        <w:t xml:space="preserve">Seven (7)</w:t>
      </w:r>
      <w:r>
        <w:t>]</w:t>
      </w:r>
      <w:r>
        <w:t xml:space="preserve"> dollars per square foot for a wood frame;</w:t>
      </w:r>
    </w:p>
    <w:p>
      <w:pPr>
        <w:pStyle w:val="kar_subclause"/>
      </w:pPr>
      <w:r>
        <w:t xml:space="preserve">(ii)</w:t>
      </w:r>
      <w:r>
        <w:t xml:space="preserve"> </w:t>
      </w:r>
      <w:r>
        <w:rPr>
          <w:u w:val="single"/>
        </w:rPr>
        <w:t xml:space="preserve">Twelve (12)</w:t>
      </w:r>
      <w:r>
        <w:t>[</w:t>
      </w:r>
      <w:r>
        <w:rPr>
          <w:strike w:val="true"/>
        </w:rPr>
        <w:t xml:space="preserve">Eight (8)</w:t>
      </w:r>
      <w:r>
        <w:t>]</w:t>
      </w:r>
      <w:r>
        <w:t xml:space="preserve"> dollars per square foot for a steel frame; or</w:t>
      </w:r>
    </w:p>
    <w:p>
      <w:pPr>
        <w:pStyle w:val="kar_subclause"/>
      </w:pPr>
      <w:r>
        <w:t xml:space="preserve">(iii)</w:t>
      </w:r>
      <w:r>
        <w:t xml:space="preserve"> </w:t>
      </w:r>
      <w:r>
        <w:rPr>
          <w:u w:val="single"/>
        </w:rPr>
        <w:t xml:space="preserve">Thirty-one (31)</w:t>
      </w:r>
      <w:r>
        <w:t>[</w:t>
      </w:r>
      <w:r>
        <w:rPr>
          <w:strike w:val="true"/>
        </w:rPr>
        <w:t xml:space="preserve">Twenty (20)</w:t>
      </w:r>
      <w:r>
        <w:t>]</w:t>
      </w:r>
      <w:r>
        <w:t xml:space="preserve">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w:t>
      </w:r>
      <w:r>
        <w:rPr>
          <w:u w:val="single"/>
        </w:rPr>
        <w:t xml:space="preserve">$1,420</w:t>
      </w:r>
      <w:r>
        <w:t>[</w:t>
      </w:r>
      <w:r>
        <w:rPr>
          <w:strike w:val="true"/>
        </w:rPr>
        <w:t xml:space="preserve">$1,500</w:t>
      </w:r>
      <w:r>
        <w:t>]</w:t>
      </w:r>
      <w:r>
        <w:t xml:space="preserve"> for each fully-functioning door at the time of appraisal);</w:t>
      </w:r>
    </w:p>
    <w:p>
      <w:pPr>
        <w:pStyle w:val="kar_subparagraph"/>
      </w:pPr>
      <w:r>
        <w:t xml:space="preserve">5.</w:t>
      </w:r>
      <w:r>
        <w:t xml:space="preserve"> </w:t>
      </w:r>
      <w:r>
        <w:t xml:space="preserve">A door with a sound detector or sensing unit shall have a standard allowance of </w:t>
      </w:r>
      <w:r>
        <w:rPr>
          <w:u w:val="single"/>
        </w:rPr>
        <w:t xml:space="preserve">$865</w:t>
      </w:r>
      <w:r>
        <w:t>[</w:t>
      </w:r>
      <w:r>
        <w:rPr>
          <w:strike w:val="true"/>
        </w:rPr>
        <w:t xml:space="preserve">$500</w:t>
      </w:r>
      <w:r>
        <w:t>]</w:t>
      </w:r>
      <w:r>
        <w:t xml:space="preserve"> per door;</w:t>
      </w:r>
    </w:p>
    <w:p>
      <w:pPr>
        <w:pStyle w:val="kar_subparagraph"/>
      </w:pPr>
      <w:r>
        <w:t xml:space="preserve">6.</w:t>
      </w:r>
      <w:r>
        <w:t xml:space="preserve"> </w:t>
      </w:r>
      <w:r>
        <w:t xml:space="preserve">Automatic sliding doors (the standard allowance shall be </w:t>
      </w:r>
      <w:r>
        <w:rPr>
          <w:u w:val="single"/>
        </w:rPr>
        <w:t xml:space="preserve">$25,450</w:t>
      </w:r>
      <w:r>
        <w:t>[</w:t>
      </w:r>
      <w:r>
        <w:rPr>
          <w:strike w:val="true"/>
        </w:rPr>
        <w:t xml:space="preserve">$17,000</w:t>
      </w:r>
      <w:r>
        <w:t>]</w:t>
      </w:r>
      <w:r>
        <w:t xml:space="preserve"> per doorway);</w:t>
      </w:r>
    </w:p>
    <w:p>
      <w:pPr>
        <w:pStyle w:val="kar_subparagraph"/>
      </w:pPr>
      <w:r>
        <w:t xml:space="preserve">7.</w:t>
      </w:r>
      <w:r>
        <w:t xml:space="preserve"> </w:t>
      </w:r>
      <w:r>
        <w:t xml:space="preserve">An automatic door opener shall have a standard allowance of </w:t>
      </w:r>
      <w:r>
        <w:rPr>
          <w:u w:val="single"/>
        </w:rPr>
        <w:t xml:space="preserve">$9160</w:t>
      </w:r>
      <w:r>
        <w:t>[</w:t>
      </w:r>
      <w:r>
        <w:rPr>
          <w:strike w:val="true"/>
        </w:rPr>
        <w:t xml:space="preserve">$6,500</w:t>
      </w:r>
      <w:r>
        <w:t>]</w:t>
      </w:r>
      <w:r>
        <w:t xml:space="preserve">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w:t>
      </w:r>
      <w:r>
        <w:rPr>
          <w:u w:val="single"/>
        </w:rPr>
        <w:t xml:space="preserve">eighty (80)</w:t>
      </w:r>
      <w:r>
        <w:t>[</w:t>
      </w:r>
      <w:r>
        <w:rPr>
          <w:strike w:val="true"/>
        </w:rPr>
        <w:t xml:space="preserve">fifty-six (56)</w:t>
      </w:r>
      <w:r>
        <w:t>]</w:t>
      </w:r>
      <w:r>
        <w:t xml:space="preserve">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w:t>
      </w:r>
      <w:r>
        <w:rPr>
          <w:u w:val="single"/>
        </w:rPr>
        <w:t xml:space="preserve">$2,530</w:t>
      </w:r>
      <w:r>
        <w:t>[</w:t>
      </w:r>
      <w:r>
        <w:rPr>
          <w:strike w:val="true"/>
        </w:rPr>
        <w:t xml:space="preserve">$2,100</w:t>
      </w:r>
      <w:r>
        <w:t>]</w:t>
      </w:r>
      <w:r>
        <w:t xml:space="preserve"> per floor serviced);</w:t>
      </w:r>
    </w:p>
    <w:p>
      <w:pPr>
        <w:pStyle w:val="kar_subparagraph"/>
      </w:pPr>
      <w:r>
        <w:t xml:space="preserve">12.</w:t>
      </w:r>
      <w:r>
        <w:t xml:space="preserve"> </w:t>
      </w:r>
      <w:r>
        <w:t xml:space="preserve">Dumb waiters (which shall have a minimum speed of fifty (50) feet per minute. The standard allowance shall be </w:t>
      </w:r>
      <w:r>
        <w:rPr>
          <w:u w:val="single"/>
        </w:rPr>
        <w:t xml:space="preserve">$20,500</w:t>
      </w:r>
      <w:r>
        <w:t>[</w:t>
      </w:r>
      <w:r>
        <w:rPr>
          <w:strike w:val="true"/>
        </w:rPr>
        <w:t xml:space="preserve">$8,000</w:t>
      </w:r>
      <w:r>
        <w:t>]</w:t>
      </w:r>
      <w:r>
        <w:t xml:space="preserve"> for the initial two (2) stops for a manual door or </w:t>
      </w:r>
      <w:r>
        <w:rPr>
          <w:u w:val="single"/>
        </w:rPr>
        <w:t xml:space="preserve">$52,520</w:t>
      </w:r>
      <w:r>
        <w:t>[</w:t>
      </w:r>
      <w:r>
        <w:rPr>
          <w:strike w:val="true"/>
        </w:rPr>
        <w:t xml:space="preserve">$21,000</w:t>
      </w:r>
      <w:r>
        <w:t>]</w:t>
      </w:r>
      <w:r>
        <w:t xml:space="preserve"> for the initial two (2) stops for an electric door and </w:t>
      </w:r>
      <w:r>
        <w:rPr>
          <w:u w:val="single"/>
        </w:rPr>
        <w:t xml:space="preserve">$5,050</w:t>
      </w:r>
      <w:r>
        <w:t>[</w:t>
      </w:r>
      <w:r>
        <w:rPr>
          <w:strike w:val="true"/>
        </w:rPr>
        <w:t xml:space="preserve">$7,000</w:t>
      </w:r>
      <w:r>
        <w:t>]</w:t>
      </w:r>
      <w:r>
        <w:t xml:space="preserve"> per additional stop);</w:t>
      </w:r>
    </w:p>
    <w:p>
      <w:pPr>
        <w:pStyle w:val="kar_subparagraph"/>
      </w:pPr>
      <w:r>
        <w:t xml:space="preserve">13.</w:t>
      </w:r>
      <w:r>
        <w:t xml:space="preserve"> </w:t>
      </w:r>
      <w:r>
        <w:t xml:space="preserve">Skylights (the standard allowance shall be </w:t>
      </w:r>
      <w:r>
        <w:rPr>
          <w:u w:val="single"/>
        </w:rPr>
        <w:t xml:space="preserve">fifty-seven</w:t>
      </w:r>
      <w:r>
        <w:t>[</w:t>
      </w:r>
      <w:r>
        <w:rPr>
          <w:strike w:val="true"/>
        </w:rPr>
        <w:t xml:space="preserve">forty (40)</w:t>
      </w:r>
      <w:r>
        <w:t>]</w:t>
      </w:r>
      <w:r>
        <w:t xml:space="preserve"> dollars per square foot);</w:t>
      </w:r>
    </w:p>
    <w:p>
      <w:pPr>
        <w:pStyle w:val="kar_subparagraph"/>
      </w:pPr>
      <w:r>
        <w:t xml:space="preserve">14.</w:t>
      </w:r>
      <w:r>
        <w:t xml:space="preserve"> </w:t>
      </w:r>
      <w:r>
        <w:t xml:space="preserve">Operable built-in oxygen delivery systems (valued at </w:t>
      </w:r>
      <w:r>
        <w:rPr>
          <w:u w:val="single"/>
        </w:rPr>
        <w:t xml:space="preserve">$425</w:t>
      </w:r>
      <w:r>
        <w:t>[</w:t>
      </w:r>
      <w:r>
        <w:rPr>
          <w:strike w:val="true"/>
        </w:rPr>
        <w:t xml:space="preserve">$300</w:t>
      </w:r>
      <w:r>
        <w:t>]</w:t>
      </w:r>
      <w:r>
        <w:t xml:space="preserve"> per serviced bed);</w:t>
      </w:r>
    </w:p>
    <w:p>
      <w:pPr>
        <w:pStyle w:val="kar_subparagraph"/>
      </w:pPr>
      <w:r>
        <w:t xml:space="preserve">15.</w:t>
      </w:r>
      <w:r>
        <w:t xml:space="preserve"> </w:t>
      </w:r>
      <w:r>
        <w:t xml:space="preserve">Carpeted wainscoting (the standard allowance shall be </w:t>
      </w:r>
      <w:r>
        <w:rPr>
          <w:u w:val="single"/>
        </w:rPr>
        <w:t xml:space="preserve">eighty (80)</w:t>
      </w:r>
      <w:r>
        <w:t>[</w:t>
      </w:r>
      <w:r>
        <w:rPr>
          <w:strike w:val="true"/>
        </w:rPr>
        <w:t xml:space="preserve">sixty (60)</w:t>
      </w:r>
      <w:r>
        <w:t>]</w:t>
      </w:r>
      <w:r>
        <w:t xml:space="preserve">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w:t>
      </w:r>
      <w:r>
        <w:rPr>
          <w:u w:val="single"/>
        </w:rPr>
        <w:t xml:space="preserve">$375</w:t>
      </w:r>
      <w:r>
        <w:t>[</w:t>
      </w:r>
      <w:r>
        <w:rPr>
          <w:strike w:val="true"/>
        </w:rPr>
        <w:t xml:space="preserve">$250</w:t>
      </w:r>
      <w:r>
        <w:t>]</w:t>
      </w:r>
      <w:r>
        <w:t xml:space="preserve"> for each ceiling fan without a light and </w:t>
      </w:r>
      <w:r>
        <w:rPr>
          <w:u w:val="single"/>
        </w:rPr>
        <w:t xml:space="preserve">$675</w:t>
      </w:r>
      <w:r>
        <w:t>[</w:t>
      </w:r>
      <w:r>
        <w:rPr>
          <w:strike w:val="true"/>
        </w:rPr>
        <w:t xml:space="preserve">$400</w:t>
      </w:r>
      <w:r>
        <w:t>]</w:t>
      </w:r>
      <w:r>
        <w:t xml:space="preserve"> for each ceiling fan with a light;</w:t>
      </w:r>
    </w:p>
    <w:p>
      <w:pPr>
        <w:pStyle w:val="kar_subparagraph"/>
      </w:pPr>
      <w:r>
        <w:t xml:space="preserve">18.</w:t>
      </w:r>
      <w:r>
        <w:t xml:space="preserve"> </w:t>
      </w:r>
      <w:r>
        <w:t xml:space="preserve">Cupolas for which the standard allowance shall be </w:t>
      </w:r>
      <w:r>
        <w:rPr>
          <w:u w:val="single"/>
        </w:rPr>
        <w:t xml:space="preserve">$990</w:t>
      </w:r>
      <w:r>
        <w:t>[</w:t>
      </w:r>
      <w:r>
        <w:rPr>
          <w:strike w:val="true"/>
        </w:rPr>
        <w:t xml:space="preserve">$720</w:t>
      </w:r>
      <w:r>
        <w:t>]</w:t>
      </w:r>
      <w:r>
        <w:t xml:space="preserve">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w:t>
      </w:r>
      <w:r>
        <w:rPr>
          <w:u w:val="single"/>
        </w:rPr>
        <w:t xml:space="preserve">thirty-two</w:t>
      </w:r>
      <w:r>
        <w:t>[</w:t>
      </w:r>
      <w:r>
        <w:rPr>
          <w:strike w:val="true"/>
        </w:rPr>
        <w:t xml:space="preserve">twenty-five (25)</w:t>
      </w:r>
      <w:r>
        <w:t>]</w:t>
      </w:r>
      <w:r>
        <w:t xml:space="preserve">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w:t>
      </w:r>
      <w:r>
        <w:rPr>
          <w:u w:val="single"/>
        </w:rPr>
        <w:t xml:space="preserve">CoreLogic Commercial Express valuation system</w:t>
      </w:r>
      <w:r>
        <w:t>[</w:t>
      </w:r>
      <w:r>
        <w:rPr>
          <w:strike w:val="true"/>
        </w:rPr>
        <w:t xml:space="preserve">Marshall &amp; Swift Boeckh BVS model #5200</w:t>
      </w:r>
      <w:r>
        <w:t>]</w:t>
      </w:r>
      <w:r>
        <w:t xml:space="preserve"> monetary limit unless a monetary limit is provided for that item in subsection (3)(z) of this section.</w:t>
      </w:r>
    </w:p>
    <w:p>
      <w:pPr>
        <w:pStyle w:val="kar_subsection"/>
      </w:pPr>
      <w:r>
        <w:t xml:space="preserve">(5)</w:t>
      </w:r>
      <w:r>
        <w:t xml:space="preserve"> </w:t>
      </w:r>
      <w:r>
        <w:t xml:space="preserve">The department shall use the corresponding </w:t>
      </w:r>
      <w:r>
        <w:rPr>
          <w:u w:val="single"/>
        </w:rPr>
        <w:t xml:space="preserve">CoreLogic Commercial Express valuation system</w:t>
      </w:r>
      <w:r>
        <w:t>[</w:t>
      </w:r>
      <w:r>
        <w:rPr>
          <w:strike w:val="true"/>
        </w:rPr>
        <w:t xml:space="preserve">Marshall &amp; Swift Boeckh BVS</w:t>
      </w:r>
      <w:r>
        <w:t>]</w:t>
      </w:r>
      <w:r>
        <w:t xml:space="preserve"> default value for any variable listed in subsection (3) of this section if no other value is stated for that variable in subsection (3) of this section.</w:t>
      </w:r>
    </w:p>
    <w:p>
      <w:pPr>
        <w:pStyle w:val="kar_subsection"/>
      </w:pPr>
      <w:r>
        <w:t xml:space="preserve">(6)</w:t>
      </w:r>
      <w:r>
        <w:t xml:space="preserve"> </w:t>
      </w:r>
      <w:r>
        <w:t xml:space="preserve"> </w:t>
      </w:r>
    </w:p>
    <w:p>
      <w:pPr>
        <w:pStyle w:val="kar_paragraph"/>
      </w:pPr>
      <w:r>
        <w:t xml:space="preserve">(a)</w:t>
      </w:r>
      <w:r>
        <w:t xml:space="preserve"> </w:t>
      </w:r>
      <w:r>
        <w:t xml:space="preserve">Values from the most recent </w:t>
      </w:r>
      <w:r>
        <w:rPr>
          <w:u w:val="single"/>
        </w:rPr>
        <w:t xml:space="preserve">CoreLogic Commercial Express valuation system</w:t>
      </w:r>
      <w:r>
        <w:t>[</w:t>
      </w:r>
      <w:r>
        <w:rPr>
          <w:strike w:val="true"/>
        </w:rPr>
        <w:t xml:space="preserve">Marshall &amp; Swift Boeckh BVS</w:t>
      </w:r>
      <w:r>
        <w:t>]</w:t>
      </w:r>
      <w:r>
        <w:t xml:space="preserve"> tables shall be used during an appraisal.</w:t>
      </w:r>
    </w:p>
    <w:p>
      <w:pPr>
        <w:pStyle w:val="kar_paragraph"/>
      </w:pPr>
      <w:r>
        <w:t xml:space="preserve">(b)</w:t>
      </w:r>
      <w:r>
        <w:t xml:space="preserve"> </w:t>
      </w:r>
      <w:r>
        <w:t xml:space="preserve">An adjustment calculation shall be performed if the most recent </w:t>
      </w:r>
      <w:r>
        <w:rPr>
          <w:u w:val="single"/>
        </w:rPr>
        <w:t xml:space="preserve">CoreLogic Commercial Express valuation system</w:t>
      </w:r>
      <w:r>
        <w:t>[</w:t>
      </w:r>
      <w:r>
        <w:rPr>
          <w:strike w:val="true"/>
        </w:rPr>
        <w:t xml:space="preserve">Marshall &amp; Swift Boeckh BVS</w:t>
      </w:r>
      <w:r>
        <w:t>]</w:t>
      </w:r>
      <w:r>
        <w:t xml:space="preserve">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w:t>
      </w:r>
      <w:r>
        <w:rPr>
          <w:u w:val="single"/>
        </w:rPr>
        <w:t xml:space="preserve">CoreLogic Commercial Express valuation system</w:t>
      </w:r>
      <w:r>
        <w:t>[</w:t>
      </w:r>
      <w:r>
        <w:rPr>
          <w:strike w:val="true"/>
        </w:rPr>
        <w:t xml:space="preserve">Marshall &amp; Swift Boeckh BVS model other than the nursing home or convalescent center #5200</w:t>
      </w:r>
      <w:r>
        <w:t>]</w:t>
      </w:r>
      <w:r>
        <w:t xml:space="preserve">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w:t>
      </w:r>
      <w:r>
        <w:rPr>
          <w:strike w:val="true"/>
        </w:rPr>
        <w:t xml:space="preserve">Except as provided by paragraph (b) of this subsection, and beginning in 2018, </w:t>
      </w:r>
      <w:r>
        <w:t>]</w:t>
      </w:r>
      <w:r>
        <w:t xml:space="preserve">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On July 7, 2017, the department shall utilize the most recent Federal Office of Management and Budget's core based statistical area (CBSA) designations to classify an NF as being in an urban or rural area, with metropolitan areas classified as urban. The urban and rural designations shall be based on the location of the NF under the CBSA designation.</w:t>
      </w:r>
      <w:r>
        <w:t>]</w:t>
      </w:r>
    </w:p>
    <w:p>
      <w:pPr>
        <w:pStyle w:val="kar_subparagraph"/>
      </w:pPr>
      <w:r>
        <w:t>[</w:t>
      </w:r>
      <w:r>
        <w:rPr>
          <w:strike w:val="true"/>
        </w:rPr>
        <w:t xml:space="preserve">2.</w:t>
      </w:r>
      <w:r>
        <w:t>]</w:t>
      </w:r>
      <w:r>
        <w:t xml:space="preserve"> </w:t>
      </w:r>
      <w:r>
        <w:t>[</w:t>
      </w:r>
      <w:r>
        <w:rPr>
          <w:strike w:val="true"/>
        </w:rPr>
        <w:t xml:space="preserve">On July 7, 2017, a change in designation from:</w:t>
      </w:r>
      <w:r>
        <w:t>]</w:t>
      </w:r>
    </w:p>
    <w:p>
      <w:pPr>
        <w:pStyle w:val="kar_clause"/>
      </w:pPr>
      <w:r>
        <w:t>[</w:t>
      </w:r>
      <w:r>
        <w:rPr>
          <w:strike w:val="true"/>
        </w:rPr>
        <w:t xml:space="preserve">a.</w:t>
      </w:r>
      <w:r>
        <w:t>]</w:t>
      </w:r>
      <w:r>
        <w:t xml:space="preserve"> </w:t>
      </w:r>
      <w:r>
        <w:t>[</w:t>
      </w:r>
      <w:r>
        <w:rPr>
          <w:strike w:val="true"/>
        </w:rPr>
        <w:t xml:space="preserve">Rural to urban shall take effect on July 1, 2017; and</w:t>
      </w:r>
      <w:r>
        <w:t>]</w:t>
      </w:r>
    </w:p>
    <w:p>
      <w:pPr>
        <w:pStyle w:val="kar_clause"/>
      </w:pPr>
      <w:r>
        <w:t>[</w:t>
      </w:r>
      <w:r>
        <w:rPr>
          <w:strike w:val="true"/>
        </w:rPr>
        <w:t xml:space="preserve">b.</w:t>
      </w:r>
      <w:r>
        <w:t>]</w:t>
      </w:r>
      <w:r>
        <w:t xml:space="preserve"> </w:t>
      </w:r>
      <w:r>
        <w:t>[</w:t>
      </w:r>
      <w:r>
        <w:rPr>
          <w:strike w:val="true"/>
        </w:rPr>
        <w:t xml:space="preserve">Urban to rural shall take effect July 1, 2018.</w:t>
      </w:r>
      <w:r>
        <w:t>]</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w:t>
      </w:r>
      <w:r>
        <w:rPr>
          <w:u w:val="single"/>
        </w:rPr>
        <w:t xml:space="preserve">2024</w:t>
      </w:r>
      <w:r>
        <w:t>[</w:t>
      </w:r>
      <w:r>
        <w:rPr>
          <w:strike w:val="true"/>
        </w:rPr>
        <w:t xml:space="preserve">2008</w:t>
      </w:r>
      <w:r>
        <w:t>]</w:t>
      </w:r>
      <w:r>
        <w:t xml:space="preserve"> level:</w:t>
      </w:r>
    </w:p>
    <w:tbl>
      <w:tblPr>
        <w:tblStyle w:val="kar_table"/>
        <w:tblW w:w="0" w:type="auto"/>
      </w:tblPr>
      <w:tblGrid>
        <w:gridCol w:w="1"/>
        <w:gridCol w:w="1"/>
        <w:gridCol w:w="1"/>
        <w:gridCol w:w="1"/>
      </w:tblGrid>
      <w:tr>
        <w:tc>
          <w:tcPr/>
          <w:p>
            <w:pPr>
              <w:pStyle w:val="kar_table_cell"/>
            </w:pPr>
            <w:r>
              <w:t xml:space="preserve">CBSA Designation</w:t>
            </w:r>
          </w:p>
        </w:tc>
        <w:tc>
          <w:tcPr/>
          <w:p>
            <w:pPr>
              <w:pStyle w:val="kar_table_cell"/>
            </w:pPr>
            <w:r>
              <w:t xml:space="preserve">Case-Mix Adjustable Portion of Standard Price</w:t>
            </w:r>
          </w:p>
        </w:tc>
        <w:tc>
          <w:tcPr/>
          <w:p>
            <w:pPr>
              <w:pStyle w:val="kar_table_cell"/>
            </w:pPr>
            <w:r>
              <w:t xml:space="preserve">Noncase-Mix Adjustable Portion of Standard Price 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rPr>
                <w:u w:val="single"/>
              </w:rPr>
              <w:t xml:space="preserve">$160.14</w:t>
            </w:r>
            <w:r>
              <w:t>[</w:t>
            </w:r>
            <w:r>
              <w:rPr>
                <w:strike w:val="true"/>
              </w:rPr>
              <w:t xml:space="preserve">$88.05</w:t>
            </w:r>
            <w:r>
              <w:t>]</w:t>
            </w:r>
          </w:p>
        </w:tc>
        <w:tc>
          <w:tcPr/>
          <w:p>
            <w:pPr>
              <w:pStyle w:val="kar_table_cell"/>
            </w:pPr>
            <w:r>
              <w:rPr>
                <w:u w:val="single"/>
              </w:rPr>
              <w:t xml:space="preserve">$101.81</w:t>
            </w:r>
            <w:r>
              <w:t>[</w:t>
            </w:r>
            <w:r>
              <w:rPr>
                <w:strike w:val="true"/>
              </w:rPr>
              <w:t xml:space="preserve">$62.80</w:t>
            </w:r>
            <w:r>
              <w:t>]</w:t>
            </w:r>
          </w:p>
        </w:tc>
        <w:tc>
          <w:tcPr/>
          <w:p>
            <w:pPr>
              <w:pStyle w:val="kar_table_cell"/>
            </w:pPr>
            <w:r>
              <w:rPr>
                <w:u w:val="single"/>
              </w:rPr>
              <w:t xml:space="preserve">$261.95</w:t>
            </w:r>
            <w:r>
              <w:t>[</w:t>
            </w:r>
            <w:r>
              <w:rPr>
                <w:strike w:val="true"/>
              </w:rPr>
              <w:t xml:space="preserve">$150.85</w:t>
            </w:r>
            <w:r>
              <w:t>]</w:t>
            </w:r>
          </w:p>
        </w:tc>
      </w:tr>
      <w:tr>
        <w:tc>
          <w:tcPr/>
          <w:p>
            <w:pPr>
              <w:pStyle w:val="kar_table_cell"/>
            </w:pPr>
            <w:r>
              <w:t xml:space="preserve">Rural</w:t>
            </w:r>
          </w:p>
        </w:tc>
        <w:tc>
          <w:tcPr/>
          <w:p>
            <w:pPr>
              <w:pStyle w:val="kar_table_cell"/>
            </w:pPr>
            <w:r>
              <w:rPr>
                <w:u w:val="single"/>
              </w:rPr>
              <w:t xml:space="preserve">$135.87</w:t>
            </w:r>
            <w:r>
              <w:t>[</w:t>
            </w:r>
            <w:r>
              <w:rPr>
                <w:strike w:val="true"/>
              </w:rPr>
              <w:t xml:space="preserve">$74.62</w:t>
            </w:r>
            <w:r>
              <w:t>]</w:t>
            </w:r>
          </w:p>
        </w:tc>
        <w:tc>
          <w:tcPr/>
          <w:p>
            <w:pPr>
              <w:pStyle w:val="kar_table_cell"/>
            </w:pPr>
            <w:r>
              <w:rPr>
                <w:u w:val="single"/>
              </w:rPr>
              <w:t xml:space="preserve">$89.68</w:t>
            </w:r>
            <w:r>
              <w:t>[</w:t>
            </w:r>
            <w:r>
              <w:rPr>
                <w:strike w:val="true"/>
              </w:rPr>
              <w:t xml:space="preserve">$55.63</w:t>
            </w:r>
            <w:r>
              <w:t>]</w:t>
            </w:r>
          </w:p>
        </w:tc>
        <w:tc>
          <w:tcPr/>
          <w:p>
            <w:pPr>
              <w:pStyle w:val="kar_table_cell"/>
            </w:pPr>
            <w:r>
              <w:rPr>
                <w:u w:val="single"/>
              </w:rPr>
              <w:t xml:space="preserve">$225.55</w:t>
            </w:r>
            <w:r>
              <w:t>[</w:t>
            </w:r>
            <w:r>
              <w:rPr>
                <w:strike w:val="true"/>
              </w:rPr>
              <w:t xml:space="preserve">$130.25</w:t>
            </w:r>
            <w:r>
              <w:t>]</w:t>
            </w:r>
          </w:p>
        </w:tc>
      </w:tr>
    </w:tbl>
    <w:p>
      <w:pPr>
        <w:pStyle w:val="kar_subsection"/>
      </w:pPr>
      <w:r>
        <w:t xml:space="preserve">(8)</w:t>
      </w:r>
      <w:r>
        <w:t xml:space="preserve"> </w:t>
      </w:r>
      <w:r>
        <w:t xml:space="preserve">A price-based NF's standard price may be:</w:t>
      </w:r>
    </w:p>
    <w:p>
      <w:pPr>
        <w:pStyle w:val="kar_paragraph"/>
      </w:pPr>
      <w:r>
        <w:t xml:space="preserve">(a)</w:t>
      </w:r>
      <w:r>
        <w:t xml:space="preserve"> </w:t>
      </w:r>
      <w:r>
        <w:t xml:space="preserve">Adjusted for inflation every July 1</w:t>
      </w:r>
      <w:r>
        <w:rPr>
          <w:u w:val="single"/>
        </w:rPr>
        <w:t xml:space="preserve"> using the version of the CMS Nursing Home without Capital Market Basket that was effective on the July 1 that the inflation adjustment occurred</w:t>
      </w:r>
      <w:r>
        <w:t xml:space="preserve">; and</w:t>
      </w:r>
    </w:p>
    <w:p>
      <w:pPr>
        <w:pStyle w:val="kar_paragraph"/>
      </w:pPr>
      <w:r>
        <w:t xml:space="preserve">(b)</w:t>
      </w:r>
      <w:r>
        <w:t xml:space="preserve"> </w:t>
      </w:r>
      <w:r>
        <w:t xml:space="preserve">Rebased:</w:t>
      </w:r>
    </w:p>
    <w:p>
      <w:pPr>
        <w:pStyle w:val="kar_subparagraph"/>
      </w:pPr>
      <w:r>
        <w:t xml:space="preserve">1.</w:t>
      </w:r>
      <w:r>
        <w:t xml:space="preserve"> </w:t>
      </w:r>
      <w:r>
        <w:t xml:space="preserve">Effective July 1, 2024; and</w:t>
      </w:r>
    </w:p>
    <w:p>
      <w:pPr>
        <w:pStyle w:val="kar_subparagraph"/>
      </w:pPr>
      <w:r>
        <w:t xml:space="preserve">2.</w:t>
      </w:r>
      <w:r>
        <w:t xml:space="preserve"> </w:t>
      </w:r>
      <w:r>
        <w:t xml:space="preserve">At least once every four (4) years thereafter.</w:t>
      </w:r>
    </w:p>
    <w:p>
      <w:pPr>
        <w:pStyle w:val="kar_subsection"/>
      </w:pPr>
      <w:r>
        <w:t xml:space="preserve">(9)</w:t>
      </w:r>
      <w:r>
        <w:t xml:space="preserve"> </w:t>
      </w:r>
      <w:r>
        <w:t>[</w:t>
      </w:r>
      <w:r>
        <w:rPr>
          <w:strike w:val="true"/>
        </w:rPr>
        <w:t xml:space="preserve">Effective July 1, 2004, an NF shall not receive a rate less than its standard price.</w:t>
      </w:r>
      <w:r>
        <w:t>]</w:t>
      </w:r>
    </w:p>
    <w:p>
      <w:pPr>
        <w:pStyle w:val="kar_subsection"/>
      </w:pPr>
      <w:r>
        <w:t>[</w:t>
      </w:r>
      <w:r>
        <w:rPr>
          <w:strike w:val="true"/>
        </w:rPr>
        <w:t xml:space="preserve">(10)</w:t>
      </w:r>
      <w:r>
        <w:t>]</w:t>
      </w:r>
      <w:r>
        <w:t xml:space="preserve"> </w:t>
      </w:r>
      <w:r>
        <w:t>[</w:t>
      </w:r>
      <w:r>
        <w:rPr>
          <w:strike w:val="true"/>
        </w:rPr>
        <w:t xml:space="preserve">Effective July 1, 2022:</w:t>
      </w:r>
      <w:r>
        <w:t>]</w:t>
      </w:r>
    </w:p>
    <w:p>
      <w:pPr>
        <w:pStyle w:val="kar_paragraph"/>
      </w:pPr>
      <w:r>
        <w:t>[</w:t>
      </w:r>
      <w:r>
        <w:rPr>
          <w:strike w:val="true"/>
        </w:rPr>
        <w:t xml:space="preserve">(a)</w:t>
      </w:r>
      <w:r>
        <w:t>]</w:t>
      </w:r>
      <w:r>
        <w:t xml:space="preserve"> </w:t>
      </w:r>
      <w:r>
        <w:t>[</w:t>
      </w:r>
      <w:r>
        <w:rPr>
          <w:strike w:val="true"/>
        </w:rPr>
        <w:t xml:space="preserve">A nursing home relief reimbursement increase of twenty-nine (29) dollars shall be included in the noncase-mix adjustable portion of the per diem rate.</w:t>
      </w:r>
      <w:r>
        <w:t>]</w:t>
      </w:r>
    </w:p>
    <w:p>
      <w:pPr>
        <w:pStyle w:val="kar_paragraph"/>
      </w:pPr>
      <w:r>
        <w:t>[</w:t>
      </w:r>
      <w:r>
        <w:rPr>
          <w:strike w:val="true"/>
        </w:rPr>
        <w:t xml:space="preserve">(b)</w:t>
      </w:r>
      <w:r>
        <w:t>]</w:t>
      </w:r>
      <w:r>
        <w:t xml:space="preserve"> </w:t>
      </w:r>
      <w:r>
        <w:t>[</w:t>
      </w:r>
      <w:r>
        <w:rPr>
          <w:strike w:val="true"/>
        </w:rPr>
        <w:t xml:space="preserve">The nursing home relief reimbursement increase shall be included in the administration line of the calculation and shall not receive annual inflationary adjustments.</w:t>
      </w:r>
      <w:r>
        <w:t>]</w:t>
      </w:r>
    </w:p>
    <w:p>
      <w:pPr>
        <w:pStyle w:val="kar_paragraph"/>
      </w:pPr>
      <w:r>
        <w:t>[</w:t>
      </w:r>
      <w:r>
        <w:rPr>
          <w:strike w:val="true"/>
        </w:rPr>
        <w:t xml:space="preserve">(c)</w:t>
      </w:r>
      <w:r>
        <w:t>]</w:t>
      </w:r>
      <w:r>
        <w:t xml:space="preserve"> </w:t>
      </w:r>
      <w:r>
        <w:t>[</w:t>
      </w:r>
      <w:r>
        <w:rPr>
          <w:strike w:val="true"/>
        </w:rPr>
        <w:t xml:space="preserve">The nursing home relief reimbursement increase of twenty-nine (29) dollars shall continue until the standard price is rebased.</w:t>
      </w:r>
      <w:r>
        <w:t>]</w:t>
      </w:r>
    </w:p>
    <w:p>
      <w:pPr>
        <w:pStyle w:val="kar_subsection"/>
      </w:pPr>
      <w:r>
        <w:t>[</w:t>
      </w:r>
      <w:r>
        <w:rPr>
          <w:strike w:val="true"/>
        </w:rPr>
        <w:t xml:space="preserve">(11)</w:t>
      </w:r>
      <w:r>
        <w:t>]</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w:t>
      </w:r>
      <w:r>
        <w:t>[</w:t>
      </w:r>
      <w:r>
        <w:rPr>
          <w:strike w:val="true"/>
        </w:rPr>
        <w:t xml:space="preserve">:</w:t>
      </w:r>
      <w:r>
        <w:t>]</w:t>
      </w:r>
    </w:p>
    <w:p>
      <w:pPr>
        <w:pStyle w:val="kar_subparagraph"/>
      </w:pPr>
      <w:r>
        <w:t>[</w:t>
      </w:r>
      <w:r>
        <w:rPr>
          <w:strike w:val="true"/>
        </w:rPr>
        <w:t xml:space="preserve">1.</w:t>
      </w:r>
      <w:r>
        <w:t>]</w:t>
      </w:r>
      <w:r>
        <w:t xml:space="preserve"> </w:t>
      </w:r>
      <w:r>
        <w:t xml:space="preserve">an allowance to offset a provider assessment;</w:t>
      </w:r>
      <w:r>
        <w:t>[</w:t>
      </w:r>
      <w:r>
        <w:rPr>
          <w:strike w:val="true"/>
        </w:rPr>
        <w:t xml:space="preserve"> and</w:t>
      </w:r>
      <w:r>
        <w:t>]</w:t>
      </w:r>
    </w:p>
    <w:p>
      <w:pPr>
        <w:pStyle w:val="kar_subparagraph"/>
      </w:pPr>
      <w:r>
        <w:t>[</w:t>
      </w:r>
      <w:r>
        <w:rPr>
          <w:strike w:val="true"/>
        </w:rPr>
        <w:t xml:space="preserve">2.</w:t>
      </w:r>
      <w:r>
        <w:t>]</w:t>
      </w:r>
      <w:r>
        <w:t xml:space="preserve"> </w:t>
      </w:r>
      <w:r>
        <w:t>[</w:t>
      </w:r>
      <w:r>
        <w:rPr>
          <w:strike w:val="true"/>
        </w:rPr>
        <w:t xml:space="preserve">The nursing home relief reimbursement increase of twenty-nine (29) dollars;</w:t>
      </w:r>
      <w:r>
        <w:t>]</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w:t>
      </w:r>
      <w:r>
        <w:rPr>
          <w:u w:val="single"/>
        </w:rPr>
        <w:t xml:space="preserve">adjusted every July 1 using the RS Means Construction Cost Indexes, and applying the total weighted average annual change of the Kentucky cities </w:t>
      </w:r>
      <w:r>
        <w:t xml:space="preserve">by the NF's total licensed NF beds; and</w:t>
      </w:r>
    </w:p>
    <w:p>
      <w:pPr>
        <w:pStyle w:val="kar_clause"/>
      </w:pPr>
      <w:r>
        <w:t xml:space="preserve">b.</w:t>
      </w:r>
      <w:r>
        <w:t xml:space="preserve"> </w:t>
      </w:r>
      <w:r>
        <w:t xml:space="preserve">Not exceed </w:t>
      </w:r>
      <w:r>
        <w:rPr>
          <w:u w:val="single"/>
        </w:rPr>
        <w:t xml:space="preserve">$79,775</w:t>
      </w:r>
      <w:r>
        <w:t>[</w:t>
      </w:r>
      <w:r>
        <w:rPr>
          <w:strike w:val="true"/>
        </w:rPr>
        <w:t xml:space="preserve">$56,003</w:t>
      </w:r>
      <w:r>
        <w:t>]</w:t>
      </w:r>
      <w:r>
        <w:t xml:space="preserve"> effective July 1, </w:t>
      </w:r>
      <w:r>
        <w:rPr>
          <w:u w:val="single"/>
        </w:rPr>
        <w:t xml:space="preserve">2023</w:t>
      </w:r>
      <w:r>
        <w:t>[</w:t>
      </w:r>
      <w:r>
        <w:rPr>
          <w:strike w:val="true"/>
        </w:rPr>
        <w:t xml:space="preserve">2016</w:t>
      </w:r>
      <w:r>
        <w:t>]</w:t>
      </w:r>
      <w:r>
        <w:t xml:space="preserve">,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3.0 data following the facility's Medicaid certification;</w:t>
      </w:r>
    </w:p>
    <w:p>
      <w:pPr>
        <w:pStyle w:val="kar_subparagraph"/>
      </w:pPr>
      <w:r>
        <w:t xml:space="preserve">3.</w:t>
      </w:r>
      <w:r>
        <w:t xml:space="preserve"> </w:t>
      </w:r>
      <w:r>
        <w:t xml:space="preserve">Utilize </w:t>
      </w:r>
      <w:r>
        <w:rPr>
          <w:u w:val="single"/>
        </w:rPr>
        <w:t xml:space="preserve">$79,775</w:t>
      </w:r>
      <w:r>
        <w:t>[</w:t>
      </w:r>
      <w:r>
        <w:rPr>
          <w:strike w:val="true"/>
        </w:rPr>
        <w:t xml:space="preserve">$56,003</w:t>
      </w:r>
      <w:r>
        <w:t>]</w:t>
      </w:r>
      <w:r>
        <w:t xml:space="preserve"> effective July 1, </w:t>
      </w:r>
      <w:r>
        <w:rPr>
          <w:u w:val="single"/>
        </w:rPr>
        <w:t xml:space="preserve">2023</w:t>
      </w:r>
      <w:r>
        <w:t>[</w:t>
      </w:r>
      <w:r>
        <w:rPr>
          <w:strike w:val="true"/>
        </w:rPr>
        <w:t xml:space="preserve">2016</w:t>
      </w:r>
      <w:r>
        <w:t>]</w:t>
      </w:r>
      <w:r>
        <w:t xml:space="preserve">,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w:t>
      </w:r>
      <w:r>
        <w:rPr>
          <w:u w:val="single"/>
        </w:rPr>
        <w:t xml:space="preserve">$79,775</w:t>
      </w:r>
      <w:r>
        <w:t>[</w:t>
      </w:r>
      <w:r>
        <w:rPr>
          <w:strike w:val="true"/>
        </w:rPr>
        <w:t xml:space="preserve">$56,003</w:t>
      </w:r>
      <w:r>
        <w:t>]</w:t>
      </w:r>
      <w:r>
        <w:t xml:space="preserve"> effective July 1, </w:t>
      </w:r>
      <w:r>
        <w:rPr>
          <w:u w:val="single"/>
        </w:rPr>
        <w:t xml:space="preserve">2023</w:t>
      </w:r>
      <w:r>
        <w:t>[</w:t>
      </w:r>
      <w:r>
        <w:rPr>
          <w:strike w:val="true"/>
        </w:rPr>
        <w:t xml:space="preserve">2016</w:t>
      </w:r>
      <w:r>
        <w:t>]</w:t>
      </w:r>
      <w:r>
        <w:t xml:space="preserve">,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rPr>
          <w:u w:val="single"/>
        </w:rPr>
        <w:t xml:space="preserve">PDPM Adapted </w:t>
      </w:r>
      <w:r>
        <w:t xml:space="preserve">Minimum Data Set (MDS) 3.0</w:t>
      </w:r>
      <w:r>
        <w:t>[</w:t>
      </w:r>
      <w:r>
        <w:rPr>
          <w:strike w:val="true"/>
        </w:rPr>
        <w:t xml:space="preserve">, Resource Utilization Group (RUG) III</w:t>
      </w:r>
      <w:r>
        <w:t>]</w:t>
      </w:r>
      <w:r>
        <w:t xml:space="preserve">,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w:t>
      </w:r>
      <w:r>
        <w:rPr>
          <w:u w:val="single"/>
        </w:rPr>
        <w:t xml:space="preserve">the PDPM Adapted </w:t>
      </w:r>
      <w:r>
        <w:t xml:space="preserve">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w:t>
      </w:r>
      <w:r>
        <w:rPr>
          <w:u w:val="single"/>
        </w:rPr>
        <w:t xml:space="preserve">2023</w:t>
      </w:r>
      <w:r>
        <w:t>[</w:t>
      </w:r>
      <w:r>
        <w:rPr>
          <w:strike w:val="true"/>
        </w:rPr>
        <w:t xml:space="preserve">2016</w:t>
      </w:r>
      <w:r>
        <w:t>]</w:t>
      </w:r>
      <w:r>
        <w:t xml:space="preserve">, for the purpose of revision to MDS data extracted June 30, </w:t>
      </w:r>
      <w:r>
        <w:rPr>
          <w:u w:val="single"/>
        </w:rPr>
        <w:t xml:space="preserve">2023</w:t>
      </w:r>
      <w:r>
        <w:t>[</w:t>
      </w:r>
      <w:r>
        <w:rPr>
          <w:strike w:val="true"/>
        </w:rPr>
        <w:t xml:space="preserve">2016</w:t>
      </w:r>
      <w:r>
        <w:t>]</w:t>
      </w:r>
      <w:r>
        <w:t xml:space="preserve">, shall not be utilized;</w:t>
      </w:r>
    </w:p>
    <w:p>
      <w:pPr>
        <w:pStyle w:val="kar_paragraph"/>
      </w:pPr>
      <w:r>
        <w:t xml:space="preserve">(b)</w:t>
      </w:r>
      <w:r>
        <w:t xml:space="preserve"> </w:t>
      </w:r>
      <w:r>
        <w:t xml:space="preserve">Classify the data cited in paragraph (a) of this subsection through the </w:t>
      </w:r>
      <w:r>
        <w:rPr>
          <w:u w:val="single"/>
        </w:rPr>
        <w:t xml:space="preserve">Patient Driven Payment Model (PDPM)</w:t>
      </w:r>
      <w:r>
        <w:t>[</w:t>
      </w:r>
      <w:r>
        <w:rPr>
          <w:strike w:val="true"/>
        </w:rPr>
        <w:t xml:space="preserve">RUG III, (M3 p1), version five point twenty (5.20) thirty-four (34) group or equivalent model</w:t>
      </w:r>
      <w:r>
        <w:t>]</w:t>
      </w:r>
      <w:r>
        <w:t xml:space="preserve"> resident classification system</w:t>
      </w:r>
      <w:r>
        <w:rPr>
          <w:u w:val="single"/>
        </w:rPr>
        <w:t xml:space="preserve">, nursing component</w:t>
      </w:r>
      <w:r>
        <w:t xml:space="preserve">;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of </w:t>
      </w:r>
      <w:r>
        <w:rPr>
          <w:u w:val="single"/>
        </w:rPr>
        <w:t xml:space="preserve">thirty (30)</w:t>
      </w:r>
      <w:r>
        <w:t>[</w:t>
      </w:r>
      <w:r>
        <w:rPr>
          <w:strike w:val="true"/>
        </w:rPr>
        <w:t xml:space="preserve">twenty-five (25)</w:t>
      </w:r>
      <w:r>
        <w:t>]</w:t>
      </w:r>
      <w:r>
        <w:t xml:space="preserve"> percent of the Medicaid residents in a price-based NF;</w:t>
      </w:r>
    </w:p>
    <w:p>
      <w:pPr>
        <w:pStyle w:val="kar_subparagraph"/>
      </w:pPr>
      <w:r>
        <w:t xml:space="preserve">2.</w:t>
      </w:r>
      <w:r>
        <w:t xml:space="preserve"> </w:t>
      </w:r>
      <w:r>
        <w:t xml:space="preserve">The department shall review one (1) MDS assessment from each resident in the sample referenced in subparagraph 1. of this paragraph;</w:t>
      </w:r>
      <w:r>
        <w:rPr>
          <w:u w:val="single"/>
        </w:rPr>
        <w:t xml:space="preserve"> and</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w:t>
      </w:r>
      <w:r>
        <w:t>[</w:t>
      </w:r>
      <w:r>
        <w:rPr>
          <w:strike w:val="true"/>
        </w:rPr>
        <w:t xml:space="preserve">; and</w:t>
      </w:r>
      <w:r>
        <w:t>]</w:t>
      </w:r>
    </w:p>
    <w:p>
      <w:pPr>
        <w:pStyle w:val="kar_subparagraph"/>
      </w:pPr>
      <w:r>
        <w:t>[</w:t>
      </w:r>
      <w:r>
        <w:rPr>
          <w:strike w:val="true"/>
        </w:rPr>
        <w:t xml:space="preserve">4.</w:t>
      </w:r>
      <w:r>
        <w:t>]</w:t>
      </w:r>
      <w:r>
        <w:t xml:space="preserve"> </w:t>
      </w:r>
      <w:r>
        <w:t>[</w:t>
      </w:r>
      <w:r>
        <w:rPr>
          <w:strike w:val="true"/>
        </w:rPr>
        <w:t xml:space="preserve">If a review of records cited in subparagraph 3. of this paragraph reveals that the price-based NF fails to meet the minimum accuracy threshold, the department shall determine if the NF fails to meet the minimum accuracy threshold by reviewing 100 percent of the price-based NF's Medicaid MDS assessments:</w:t>
      </w:r>
      <w:r>
        <w:t>]</w:t>
      </w:r>
    </w:p>
    <w:p>
      <w:pPr>
        <w:pStyle w:val="kar_clause"/>
      </w:pPr>
      <w:r>
        <w:t>[</w:t>
      </w:r>
      <w:r>
        <w:rPr>
          <w:strike w:val="true"/>
        </w:rPr>
        <w:t xml:space="preserve">a.</w:t>
      </w:r>
      <w:r>
        <w:t>]</w:t>
      </w:r>
      <w:r>
        <w:t xml:space="preserve"> </w:t>
      </w:r>
      <w:r>
        <w:t>[</w:t>
      </w:r>
      <w:r>
        <w:rPr>
          <w:strike w:val="true"/>
        </w:rPr>
        <w:t xml:space="preserve">Extracted in accordance with paragraph (a) of this subsection; and</w:t>
      </w:r>
      <w:r>
        <w:t>]</w:t>
      </w:r>
    </w:p>
    <w:p>
      <w:pPr>
        <w:pStyle w:val="kar_clause"/>
      </w:pPr>
      <w:r>
        <w:t>[</w:t>
      </w:r>
      <w:r>
        <w:rPr>
          <w:strike w:val="true"/>
        </w:rPr>
        <w:t xml:space="preserve">b.</w:t>
      </w:r>
      <w:r>
        <w:t>]</w:t>
      </w:r>
      <w:r>
        <w:t xml:space="preserve"> </w:t>
      </w:r>
      <w:r>
        <w:t>[</w:t>
      </w:r>
      <w:r>
        <w:rPr>
          <w:strike w:val="true"/>
        </w:rPr>
        <w:t xml:space="preserve">Selecting one (1) MDS assessment per resident</w:t>
      </w:r>
      <w:r>
        <w:t>]</w:t>
      </w:r>
      <w:r>
        <w:t xml:space="preserve">.</w:t>
      </w:r>
    </w:p>
    <w:p>
      <w:pPr>
        <w:pStyle w:val="kar_subsection"/>
      </w:pPr>
      <w:r>
        <w:t xml:space="preserve">(4)</w:t>
      </w:r>
      <w:r>
        <w:t xml:space="preserve"> </w:t>
      </w:r>
      <w:r>
        <w:t xml:space="preserve">If the department's review, in accordance with subsection (3)(c)3. and 4. 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 cited in subsection (3)(c)4. of this section.</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month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paragraph"/>
      </w:pPr>
      <w:r>
        <w:rPr>
          <w:u w:val="single"/>
        </w:rPr>
        <w:t xml:space="preserve">(d)</w:t>
      </w:r>
      <w:r>
        <w:t xml:space="preserve"> </w:t>
      </w:r>
      <w:r>
        <w:rPr>
          <w:u w:val="single"/>
        </w:rPr>
        <w:t xml:space="preserve">Rate sanctions shall not be applied:</w:t>
      </w:r>
    </w:p>
    <w:p>
      <w:pPr>
        <w:pStyle w:val="kar_subparagraph"/>
      </w:pPr>
      <w:r>
        <w:rPr>
          <w:u w:val="single"/>
        </w:rPr>
        <w:t xml:space="preserve">1.</w:t>
      </w:r>
      <w:r>
        <w:t xml:space="preserve"> </w:t>
      </w:r>
      <w:r>
        <w:rPr>
          <w:u w:val="single"/>
        </w:rPr>
        <w:t xml:space="preserve">Until the rates effective July 1, 2025 are in effect; and</w:t>
      </w:r>
    </w:p>
    <w:p>
      <w:pPr>
        <w:pStyle w:val="kar_subparagraph"/>
      </w:pPr>
      <w:r>
        <w:rPr>
          <w:u w:val="single"/>
        </w:rPr>
        <w:t xml:space="preserve">2.</w:t>
      </w:r>
      <w:r>
        <w:t xml:space="preserve"> </w:t>
      </w:r>
      <w:r>
        <w:rPr>
          <w:u w:val="single"/>
        </w:rPr>
        <w:t xml:space="preserve">Except for those rates that are effective on and after July 1, 2025 as specified in subsection (14) of this section.</w:t>
      </w:r>
    </w:p>
    <w:p>
      <w:pPr>
        <w:pStyle w:val="kar_subsection"/>
      </w:pPr>
      <w:r>
        <w:rPr>
          <w:u w:val="single"/>
        </w:rPr>
        <w:t xml:space="preserve">(14)</w:t>
      </w:r>
      <w:r>
        <w:t xml:space="preserve"> </w:t>
      </w:r>
      <w:r>
        <w:rPr>
          <w:u w:val="single"/>
        </w:rPr>
        <w:t xml:space="preserve">Beginning with rates effective July 1, 2025, upon conclusion of a departmental review of MDS data, in accordance with this section of this administrative regulation:</w:t>
      </w:r>
    </w:p>
    <w:p>
      <w:pPr>
        <w:pStyle w:val="kar_paragraph"/>
      </w:pPr>
      <w:r>
        <w:rPr>
          <w:u w:val="single"/>
        </w:rPr>
        <w:t xml:space="preserve">(a)</w:t>
      </w:r>
      <w:r>
        <w:t xml:space="preserve"> </w:t>
      </w:r>
      <w:r>
        <w:rPr>
          <w:u w:val="single"/>
        </w:rPr>
        <w:t xml:space="preserve">The department shall recalculate the facility's case mix index based on the review's findings; and</w:t>
      </w:r>
    </w:p>
    <w:p>
      <w:pPr>
        <w:pStyle w:val="kar_paragraph"/>
      </w:pPr>
      <w:r>
        <w:rPr>
          <w:u w:val="single"/>
        </w:rPr>
        <w:t xml:space="preserve">(b)</w:t>
      </w:r>
      <w:r>
        <w:t xml:space="preserve"> </w:t>
      </w:r>
      <w:r>
        <w:rPr>
          <w:u w:val="single"/>
        </w:rPr>
        <w:t xml:space="preserve">If a recalculated case mix index results in a change to the NF's established rate or rates, the rate or rates shall be recalculated and any payment adjustment shall be made.</w:t>
      </w:r>
    </w:p>
    <w:p>
      <w:pPr>
        <w:pStyle w:val="kar_subsection"/>
      </w:pPr>
      <w:r>
        <w:rPr>
          <w:u w:val="single"/>
        </w:rPr>
        <w:t xml:space="preserve">(15)</w:t>
      </w:r>
      <w:r>
        <w:t xml:space="preserve"> </w:t>
      </w:r>
      <w:r>
        <w:rPr>
          <w:u w:val="single"/>
        </w:rPr>
        <w:t xml:space="preserve">For rates effective April 1, 2024, through June 30, 2024, the rate shall be equal to the rate effective January 1, 2024.</w:t>
      </w:r>
    </w:p>
    <w:p>
      <w:pPr>
        <w:pStyle w:val="kar_subsection"/>
      </w:pPr>
      <w:r>
        <w:rPr>
          <w:u w:val="single"/>
        </w:rPr>
        <w:t xml:space="preserve">(16)</w:t>
      </w:r>
      <w:r>
        <w:t xml:space="preserve"> </w:t>
      </w:r>
      <w:r>
        <w:rPr>
          <w:u w:val="single"/>
        </w:rPr>
        <w:t xml:space="preserve">Beginning July, 1, 2024, the PDPM case-mix index shall be phased in using the following schedule:</w:t>
      </w:r>
    </w:p>
    <w:p>
      <w:pPr>
        <w:pStyle w:val="kar_paragraph"/>
      </w:pPr>
      <w:r>
        <w:rPr>
          <w:u w:val="single"/>
        </w:rPr>
        <w:t xml:space="preserve">(a)</w:t>
      </w:r>
      <w:r>
        <w:t xml:space="preserve"> </w:t>
      </w:r>
      <w:r>
        <w:rPr>
          <w:u w:val="single"/>
        </w:rPr>
        <w:t xml:space="preserve">For rates effective July 1, 2024 through September 30, 2024, the case-mix index shall be comprised of twenty-five (25) percent of the PDPM CMI and seventy-five (75) percent of the RUG-III CMI that was in effect prior to the transition.</w:t>
      </w:r>
    </w:p>
    <w:p>
      <w:pPr>
        <w:pStyle w:val="kar_paragraph"/>
      </w:pPr>
      <w:r>
        <w:rPr>
          <w:u w:val="single"/>
        </w:rPr>
        <w:t xml:space="preserve">(b)</w:t>
      </w:r>
      <w:r>
        <w:t xml:space="preserve"> </w:t>
      </w:r>
      <w:r>
        <w:rPr>
          <w:u w:val="single"/>
        </w:rPr>
        <w:t xml:space="preserve">For rates effective October 1, 2024 through December 31, 2024, the case-mix index shall be comprised of fifty (50) percent of the PDPM CMI and fifty (50) percent of the RUG-III CMI that was in effect prior to the transition.</w:t>
      </w:r>
    </w:p>
    <w:p>
      <w:pPr>
        <w:pStyle w:val="kar_paragraph"/>
      </w:pPr>
      <w:r>
        <w:rPr>
          <w:u w:val="single"/>
        </w:rPr>
        <w:t xml:space="preserve">(c)</w:t>
      </w:r>
      <w:r>
        <w:t xml:space="preserve"> </w:t>
      </w:r>
      <w:r>
        <w:rPr>
          <w:u w:val="single"/>
        </w:rPr>
        <w:t xml:space="preserve">For rates effective January 1, 2025 through March 31, 2025, the case-mix index shall be comprised of seventy-five (75) percent of the PDPM CMI and twenty-five (25) percent of the RUG-III CMI that was in effect prior to the transition.</w:t>
      </w:r>
    </w:p>
    <w:p>
      <w:pPr>
        <w:pStyle w:val="kar_paragraph"/>
      </w:pPr>
      <w:r>
        <w:rPr>
          <w:u w:val="single"/>
        </w:rPr>
        <w:t xml:space="preserve">(d)</w:t>
      </w:r>
      <w:r>
        <w:t xml:space="preserve"> </w:t>
      </w:r>
      <w:r>
        <w:rPr>
          <w:u w:val="single"/>
        </w:rPr>
        <w:t xml:space="preserve">Beginning April 1, 2025, the case-mix index shall be comprised of one-hundred (100) percent of the PDPM CMI and zero (0) percent of the RUG-III CMI that was in effect prior to the transition.</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w:t>
      </w:r>
    </w:p>
    <w:p>
      <w:pPr>
        <w:pStyle w:val="kar_paragraph"/>
      </w:pPr>
      <w:r>
        <w:t xml:space="preserve">(b)</w:t>
      </w:r>
      <w:r>
        <w:t xml:space="preserve"> </w:t>
      </w:r>
      <w:r>
        <w:t xml:space="preserve">The NF informs the resident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w:t>
      </w:r>
      <w:r>
        <w:rPr>
          <w:u w:val="single"/>
        </w:rPr>
        <w:t xml:space="preserve">thirty (30)</w:t>
      </w:r>
      <w:r>
        <w:t>[</w:t>
      </w:r>
      <w:r>
        <w:rPr>
          <w:strike w:val="true"/>
        </w:rPr>
        <w:t xml:space="preserve">fourteen (14)</w:t>
      </w:r>
      <w:r>
        <w:t>]</w:t>
      </w:r>
      <w:r>
        <w:t xml:space="preserve">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w:t>
      </w:r>
      <w:r>
        <w:t>[</w:t>
      </w:r>
      <w:r>
        <w:rPr>
          <w:strike w:val="true"/>
        </w:rPr>
        <w:t xml:space="preserve"> if the facility's occupancy percent is ninety-five (95) percent or greater for the calendar quarter preceding the bed reserve day; and</w:t>
      </w:r>
      <w:r>
        <w:t>]</w:t>
      </w:r>
    </w:p>
    <w:p>
      <w:pPr>
        <w:pStyle w:val="kar_paragraph"/>
      </w:pPr>
      <w:r>
        <w:t>[</w:t>
      </w:r>
      <w:r>
        <w:rPr>
          <w:strike w:val="true"/>
        </w:rPr>
        <w:t xml:space="preserve">(d)</w:t>
      </w:r>
      <w:r>
        <w:t>]</w:t>
      </w:r>
      <w:r>
        <w:t xml:space="preserve"> </w:t>
      </w:r>
      <w:r>
        <w:t>[</w:t>
      </w:r>
      <w:r>
        <w:rPr>
          <w:strike w:val="true"/>
        </w:rPr>
        <w:t xml:space="preserve">Reimbursed at fifty (50) percent of a facility's rate if the facility's occupancy percent is less than ninety-five (95) percent for the calendar quarter preceding the bed reserve day</w:t>
      </w:r>
      <w:r>
        <w:t>]</w:t>
      </w:r>
      <w:r>
        <w:t xml:space="preserve">.</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rPr>
          <w:u w:val="single"/>
        </w:rPr>
        <w:t xml:space="preserve">Except as otherwise covered pursuant to Title 907 KAR, </w:t>
      </w:r>
      <w:r>
        <w:t xml:space="preserve">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(11)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oxygen therapy and for ancillary services provided to an individual in a critical access hospital swing bed, the department shall reimburse for an ancillary service that meets the criteria established in 907 KAR 1:023 utilizing </w:t>
      </w:r>
      <w:r>
        <w:rPr>
          <w:u w:val="single"/>
        </w:rPr>
        <w:t xml:space="preserve">a per diem component to the rates, updated every July 1. Prior year utilization based on claims and </w:t>
      </w:r>
      <w:r>
        <w:t xml:space="preserve">the corresponding outpatient procedure code rate listed in the Medicaid Physician Fee Schedule established in 907 KAR 3:010, Section 3</w:t>
      </w:r>
      <w:r>
        <w:rPr>
          <w:u w:val="single"/>
        </w:rPr>
        <w:t xml:space="preserve"> shall be divided by the number of the provider's paid Medicaid days for the same time period</w:t>
      </w:r>
      <w:r>
        <w:t xml:space="preserve">.</w:t>
      </w:r>
    </w:p>
    <w:p>
      <w:pPr>
        <w:pStyle w:val="kar_subsection"/>
      </w:pPr>
      <w:r>
        <w:t xml:space="preserve">(2)</w:t>
      </w:r>
      <w:r>
        <w:t xml:space="preserve"> </w:t>
      </w:r>
      <w:r>
        <w:t xml:space="preserve">The department shall reimburse for an oxygen therapy utilizing the Medicaid DME Program fee schedule established in 907 KAR 1:479.</w:t>
      </w:r>
    </w:p>
    <w:p>
      <w:pPr>
        <w:pStyle w:val="kar_subsection"/>
      </w:pPr>
      <w:r>
        <w:t xml:space="preserve">(3)</w:t>
      </w:r>
      <w:r>
        <w:t xml:space="preserve"> </w:t>
      </w:r>
      <w:r>
        <w:t xml:space="preserve">Respiratory therapy and respiratory therapy supplies shall be a routine service.</w:t>
      </w:r>
    </w:p>
    <w:p>
      <w:pPr>
        <w:pStyle w:val="kar_subsection"/>
      </w:pPr>
      <w:r>
        <w:t xml:space="preserve">(4)</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t xml:space="preserve">Section 13.</w:t>
      </w:r>
      <w:r>
        <w:t xml:space="preserve"> </w:t>
      </w:r>
      <w:r>
        <w:t xml:space="preserve">Appeal Rights. A price-based NF may appeal a department decision as to the application of this administrative regulation in accordance with 907 KAR 1:671.</w:t>
      </w:r>
    </w:p>
    <w:p>
      <w:pPr>
        <w:pStyle w:val="kar_section"/>
      </w:pPr>
      <w:r>
        <w:t xml:space="preserve">Section 14.</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 and</w:t>
      </w:r>
    </w:p>
    <w:p>
      <w:pPr>
        <w:pStyle w:val="kar_paragraph"/>
      </w:pPr>
      <w:r>
        <w:t xml:space="preserve">(d)</w:t>
      </w:r>
      <w:r>
        <w:t xml:space="preserve"> </w:t>
      </w:r>
      <w:r>
        <w:rPr>
          <w:u w:val="single"/>
        </w:rPr>
        <w:t xml:space="preserve">"PDPM Adapted Minimum Data Set (MDS)", October 1, 2023</w:t>
      </w:r>
      <w:r>
        <w:t>[</w:t>
      </w:r>
      <w:r>
        <w:rPr>
          <w:strike w:val="true"/>
        </w:rPr>
        <w:t xml:space="preserve">"Minimum Data Set (MDS) - Version 3.0, Resident Assessment and Care Screening", 10/1/2016</w:t>
      </w:r>
      <w:r>
        <w:t>]</w:t>
      </w:r>
      <w:r>
        <w:t xml:space="preserve">.</w:t>
      </w:r>
    </w:p>
    <w:p>
      <w:pPr>
        <w:pStyle w:val="kar_subsection"/>
      </w:pPr>
      <w:r>
        <w:t xml:space="preserve">(2)</w:t>
      </w:r>
      <w:r>
        <w:t xml:space="preserve"> </w:t>
      </w:r>
      <w:r>
        <w:t xml:space="preserve">This material may be inspected, copied, or obtained, subject to applicable copyright law, at the:</w:t>
      </w:r>
    </w:p>
    <w:p>
      <w:pPr>
        <w:pStyle w:val="kar_paragraph"/>
      </w:pPr>
      <w:r>
        <w:t xml:space="preserve">(a)</w:t>
      </w:r>
      <w:r>
        <w:t xml:space="preserve"> </w:t>
      </w:r>
      <w:r>
        <w:t xml:space="preserve">Department for Medicaid Services, 275 East Main Street, Frankfort, Kentucky 40621, Monday through Friday, 8 a.m. to 4:30 p.m.; and</w:t>
      </w:r>
    </w:p>
    <w:p>
      <w:pPr>
        <w:pStyle w:val="kar_paragraph"/>
      </w:pPr>
      <w:r>
        <w:t xml:space="preserve">(b)</w:t>
      </w:r>
      <w:r>
        <w:t xml:space="preserve"> </w:t>
      </w:r>
      <w:r>
        <w:t xml:space="preserve">Following location on the department's Web site: https://chfs.ky.gov/agencies/dms/dafm/Pages/default.aspx.</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filed"/>
      </w:pPr>
      <w:r>
        <w:t xml:space="preserve">FILED WITH LRC: January 11, 2024 at 2:25 p.m.</w:t>
      </w:r>
    </w:p>
    <w:p>
      <w:pPr>
        <w:pStyle w:val="kar_normal"/>
      </w:pPr>
      <w:r>
        <w:t xml:space="preserve"/>
      </w:r>
    </w:p>
    <w:p>
      <w:pPr>
        <w:pStyle w:val="kar_comment_period"/>
      </w:pPr>
      <w:r>
        <w:t xml:space="preserve">PUBLIC HEARING AND PUBLIC COMMENT PERIOD: A public hearing on this administrative regulation shall, if requested, be held on March 25,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18,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revises reimbursement for nursing facilities participating in Kentucky Department for Medicaid Services for all non-managed care recipients.</w:t>
      </w:r>
    </w:p>
    <w:p>
      <w:pPr>
        <w:pStyle w:val="kar_normal"/>
        <w:ind w:left="576"/>
      </w:pPr>
      <w:r>
        <w:t xml:space="preserve">(b) The necessity of this administrative regulation:</w:t>
      </w:r>
    </w:p>
    <w:p>
      <w:pPr>
        <w:pStyle w:val="kar_normal"/>
        <w:ind w:left="720"/>
      </w:pPr>
      <w:r>
        <w:t xml:space="preserve">This administrative regulation is necessary to establish price-based nursing facility reimbursement provisions.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price-based nursing facility reimbursement provisions.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updated reimbursement rates for nursing facilities providing care to Kentucky Medicaid recipients.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administrative regulation by documenting the changes to the nursing facility price based reimbursement. Changes include transitioning from RUG-III to a Patient Driven Payment Model (PDPM) case mix classification system, rebasing the price based standard price components, updating the reappraisal system and processes, and revising the bed hold policy.</w:t>
      </w:r>
    </w:p>
    <w:p>
      <w:pPr>
        <w:pStyle w:val="kar_normal"/>
        <w:ind w:left="576"/>
      </w:pPr>
      <w:r>
        <w:t xml:space="preserve">(b) The necessity of the amendment to this administrative regulation:</w:t>
      </w:r>
    </w:p>
    <w:p>
      <w:pPr>
        <w:pStyle w:val="kar_normal"/>
        <w:ind w:left="720"/>
      </w:pPr>
      <w:r>
        <w:t xml:space="preserve">The amendment of this administrative regulation is necessary to update the price-based nursing facility reimbursement provisions.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continuing to establish price-based nursing facility reimbursement provisions.</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authorizing statutes by establishing updated reimbursement rates for nursing facilities providing care to Kentucky Medicaid recipients.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257 nursing facilities participating with Medicaid that may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Nursing facilities will not have to take any actions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entities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Entities will receive a higher reimbursement from Medicaid, and the current reimbursement increase is now scheduled to be incorporated into the base rate for nursing facilities in the future.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anticipates that expenditures for nursing facilities will be consistent with appropriations in the current executive branch state budget.</w:t>
      </w:r>
    </w:p>
    <w:p>
      <w:pPr>
        <w:pStyle w:val="kar_normal"/>
        <w:ind w:left="576"/>
      </w:pPr>
      <w:r>
        <w:t xml:space="preserve">(b) On a continuing basis:</w:t>
      </w:r>
    </w:p>
    <w:p>
      <w:pPr>
        <w:pStyle w:val="kar_normal"/>
        <w:ind w:left="720"/>
      </w:pPr>
      <w:r>
        <w:t xml:space="preserve">DMS anticipates that expenditures for nursing facilities will be consistent with appropriations in the current executive branch state budget.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department anticipates that rebasing and utilizing a PDPM, as well as moving ancillary services into the per diem rate will be budget neutral.</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was not applied in this administrative regulation because the administration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Department for Medicaid Services (DMS) anticipates no revenue for state or local government will result from the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anticipates no revenue for state or local government will result from the amendment.</w:t>
      </w:r>
    </w:p>
    <w:p>
      <w:pPr>
        <w:pStyle w:val="kar_normal"/>
        <w:ind w:left="576"/>
      </w:pPr>
      <w:r>
        <w:t xml:space="preserve">(c) How much will it cost to administer this program for the first year?</w:t>
      </w:r>
    </w:p>
    <w:p>
      <w:pPr>
        <w:pStyle w:val="kar_normal"/>
        <w:ind w:left="720"/>
      </w:pPr>
      <w:r>
        <w:t xml:space="preserve">DMS anticipates that expenditures for nursing facilities will be consistent with appropriations in the current executive branch state budget.</w:t>
      </w:r>
    </w:p>
    <w:p>
      <w:pPr>
        <w:pStyle w:val="kar_normal"/>
        <w:ind w:left="576"/>
      </w:pPr>
      <w:r>
        <w:t xml:space="preserve">(d) How much will it cost to administer this program for subsequent years?</w:t>
      </w:r>
    </w:p>
    <w:p>
      <w:pPr>
        <w:pStyle w:val="kar_normal"/>
        <w:ind w:left="720"/>
      </w:pPr>
      <w:r>
        <w:t xml:space="preserve">DMS anticipates that expenditures for nursing facilities will be consistent with appropriations in the current executive branch state budget.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 This administrative regulation will result in higher reimbursement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 This administrative regulation will result in higher reimbursement for regulated entities.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1396r(f)(6) and 42 C.F.R. 483.20.</w:t>
      </w:r>
    </w:p>
    <w:p>
      <w:pPr>
        <w:pStyle w:val="kar_normal"/>
        <w:ind w:left="288"/>
      </w:pPr>
      <w:r>
        <w:t xml:space="preserve">(2) State compliance standards.</w:t>
      </w:r>
    </w:p>
    <w:p>
      <w:pPr>
        <w:pStyle w:val="kar_normal"/>
        <w:ind w:left="432"/>
      </w:pPr>
      <w:r>
        <w:t xml:space="preserve">KRS 205.520(3) authorizes the cabinet, by administrative regulation, to comply with a requirement that may be imposed or opportunity presented by federal law for the provision of medical assistance to Kentucky's indigent citizenry.</w:t>
      </w:r>
    </w:p>
    <w:p>
      <w:pPr>
        <w:pStyle w:val="kar_normal"/>
        <w:ind w:left="288"/>
      </w:pPr>
      <w:r>
        <w:t xml:space="preserve">(3) Minimum or uniform standards contained in the federal mandate.</w:t>
      </w:r>
    </w:p>
    <w:p>
      <w:pPr>
        <w:pStyle w:val="kar_normal"/>
        <w:ind w:left="432"/>
      </w:pPr>
      <w:r>
        <w:t xml:space="preserve">42 C.F.R. 483.20 requires a nursing facility to conduct a resident assessment of each resident.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set stricter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Neither stricter nor additional standards nor responsibilities are imposed.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c0f28ee4764e4f" /><Relationship Type="http://schemas.openxmlformats.org/officeDocument/2006/relationships/settings" Target="/word/settings.xml" Id="Rd36ae7bfbf724fde" /></Relationships>
</file>