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f1f21f437e419e"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314.042, 314.091, 314.193(2), 314.195</w:t>
      </w:r>
    </w:p>
    <w:p>
      <w:pPr>
        <w:pStyle w:val="kar_markup_metadata"/>
      </w:pPr>
      <w:r>
        <w:t xml:space="preserve">STATUTORY AUTHORITY: </w:t>
      </w:r>
      <w:r>
        <w:t xml:space="preserve">KRS 218A.205(3)(a), (b), 314.042,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and a physician in the provision of prescription medication, including both autonomous and cooperative decision-making, with the advanced practice registered nurse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must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in person or via video conferencing, or by phone, if in person or video conferencing is not feasible, to review the APRN's reverse PDMP report.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discussions; and</w:t>
      </w:r>
    </w:p>
    <w:p>
      <w:pPr>
        <w:pStyle w:val="kar_subparagraph"/>
      </w:pPr>
      <w:r>
        <w:t xml:space="preserve">3.</w:t>
      </w:r>
      <w:r>
        <w:t xml:space="preserve"> </w:t>
      </w:r>
      <w:r>
        <w:t xml:space="preserve">Any recommendations made shall be made in writing.</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 and</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w:t>
      </w:r>
    </w:p>
    <w:p>
      <w:pPr>
        <w:pStyle w:val="kar_paragraph"/>
      </w:pPr>
      <w:r>
        <w:t xml:space="preserve">(c)</w:t>
      </w:r>
      <w:r>
        <w:t xml:space="preserve"> </w:t>
      </w:r>
      <w:r>
        <w:t xml:space="preserve">An APRN shall use the Standardized CAPA-CS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w:t>
      </w:r>
    </w:p>
    <w:p>
      <w:pPr>
        <w:pStyle w:val="kar_paragraph"/>
      </w:pPr>
      <w:r>
        <w:t xml:space="preserve">(c)</w:t>
      </w:r>
      <w:r>
        <w:t xml:space="preserve"> </w:t>
      </w:r>
      <w:r>
        <w:t xml:space="preserve">To notify the board of the existence of a CAPA-CS pursuant to KRS 314.042(11)(b), the APRN shall submit an online notification.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administrative regulation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All notifications, rescissions, and exemption requests shall be submitted by the APRN to the board via the online KBN Nurse Portal at www.kbn.ky.gov, and shall include the information and documentation required by subsections (1) and (2) of this section.</w:t>
      </w:r>
    </w:p>
    <w:p>
      <w:pPr>
        <w:pStyle w:val="kar_paragraph"/>
      </w:pPr>
      <w:r>
        <w:t xml:space="preserve">(f)</w:t>
      </w:r>
      <w:r>
        <w:t xml:space="preserve"> </w:t>
      </w:r>
      <w:r>
        <w:t xml:space="preserve">Upon request by the Board, the APRN shall furnish to the board a copy of the executed CAPA-NS Agreement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 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the board's website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such a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13B within twenty (20) days of receiving written notification of the denial. If a hearing is requested and the order of the board is adverse to the advance practice registered nurse, the board may impose costs pursuant to administrative regulation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the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PDMP report identification numbers and the date of issuance of each PDMP report.</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PDMP report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"ACCN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t xml:space="preserve">"Standardized CAPA-CS Agreement Form", _9/2023; and</w:t>
      </w:r>
    </w:p>
    <w:p>
      <w:pPr>
        <w:pStyle w:val="kar_paragraph"/>
      </w:pPr>
      <w:r>
        <w:t xml:space="preserve">(r)</w:t>
      </w:r>
      <w:r>
        <w:t xml:space="preserve"> </w:t>
      </w:r>
      <w:r>
        <w:t xml:space="preserve">"CAPA-NS Agreement Form", 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3688c16d9d4ccf" /><Relationship Type="http://schemas.openxmlformats.org/officeDocument/2006/relationships/settings" Target="/word/settings.xml" Id="Rc00336eca71b4314" /></Relationships>
</file>