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98caa23dd24d8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w:t>
      </w:r>
      <w:r>
        <w:rPr>
          <w:u w:val="single"/>
        </w:rPr>
        <w:t xml:space="preserve">314.042, </w:t>
      </w:r>
      <w:r>
        <w:t xml:space="preserve">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w:t>
      </w:r>
      <w:r>
        <w:t>[</w:t>
      </w:r>
      <w:r>
        <w:rPr>
          <w:strike w:val="true"/>
        </w:rPr>
        <w:t xml:space="preserve">,</w:t>
      </w:r>
      <w:r>
        <w:t>]</w:t>
      </w:r>
      <w:r>
        <w:t xml:space="preserve">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w:t>
      </w:r>
      <w:r>
        <w:rPr>
          <w:u w:val="single"/>
        </w:rPr>
        <w:t xml:space="preserve"> (APRN)</w:t>
      </w:r>
      <w:r>
        <w:t xml:space="preserv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w:t>
      </w:r>
      <w:r>
        <w:rPr>
          <w:u w:val="single"/>
        </w:rPr>
        <w:t xml:space="preserve">(11)</w:t>
      </w:r>
      <w:r>
        <w:t>[</w:t>
      </w:r>
      <w:r>
        <w:rPr>
          <w:strike w:val="true"/>
        </w:rPr>
        <w:t xml:space="preserve">(10)</w:t>
      </w:r>
      <w:r>
        <w:t>]</w:t>
      </w:r>
      <w:r>
        <w:t xml:space="preserve">.</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rPr>
          <w:u w:val="single"/>
        </w:rPr>
        <w:t xml:space="preserve">"Good standing" is defined by KRS 314.039.</w:t>
      </w:r>
    </w:p>
    <w:p>
      <w:pPr>
        <w:pStyle w:val="kar_subsection"/>
      </w:pPr>
      <w:r>
        <w:t xml:space="preserve">(5)</w:t>
      </w:r>
      <w:r>
        <w:t xml:space="preserve"> </w:t>
      </w:r>
      <w:r>
        <w:t xml:space="preserve">"Immediate family" means a spouse, parent, </w:t>
      </w:r>
      <w:r>
        <w:rPr>
          <w:u w:val="single"/>
        </w:rPr>
        <w:t xml:space="preserve">parent-in-law, stepparent, child, stepchild, son-in-law, daughter-in-law, sibling, stepsibling, brother-in-law, sister-in-law, grandparent, grandchild, spouse of grandparent or grandchild</w:t>
      </w:r>
      <w:r>
        <w:t>[</w:t>
      </w:r>
      <w:r>
        <w:rPr>
          <w:strike w:val="true"/>
        </w:rPr>
        <w:t xml:space="preserve">child, sibling, parent-in-law, son-in-law, daughter-in-law, brother in-law, sister in-law, step-parent, step-child, step-sibling</w:t>
      </w:r>
      <w:r>
        <w:t>]</w:t>
      </w:r>
      <w:r>
        <w:t xml:space="preserve">, or other </w:t>
      </w:r>
      <w:r>
        <w:rPr>
          <w:u w:val="single"/>
        </w:rPr>
        <w:t xml:space="preserve">person</w:t>
      </w:r>
      <w:r>
        <w:t>[</w:t>
      </w:r>
      <w:r>
        <w:rPr>
          <w:strike w:val="true"/>
        </w:rPr>
        <w:t xml:space="preserve">relative</w:t>
      </w:r>
      <w:r>
        <w:t>]</w:t>
      </w:r>
      <w:r>
        <w:t xml:space="preserve"> residing in the same residence as</w:t>
      </w:r>
      <w:r>
        <w:rPr>
          <w:u w:val="single"/>
        </w:rPr>
        <w:t xml:space="preserve"> the APRN</w:t>
      </w:r>
      <w:r>
        <w:t>[</w:t>
      </w:r>
      <w:r>
        <w:rPr>
          <w:strike w:val="true"/>
        </w:rPr>
        <w:t xml:space="preserve">a prescribing practitioner</w:t>
      </w:r>
      <w:r>
        <w:t>]</w:t>
      </w:r>
      <w:r>
        <w:t xml:space="preserve">.</w:t>
      </w:r>
    </w:p>
    <w:p>
      <w:pPr>
        <w:pStyle w:val="kar_subsection"/>
      </w:pPr>
      <w:r>
        <w:rPr>
          <w:u w:val="single"/>
        </w:rPr>
        <w:t xml:space="preserve">(6)</w:t>
      </w:r>
      <w:r>
        <w:t xml:space="preserve"> </w:t>
      </w:r>
      <w:r>
        <w:rPr>
          <w:u w:val="single"/>
        </w:rPr>
        <w:t xml:space="preserve">"KBML" means the Kentucky Board of Medical Licensure.</w:t>
      </w:r>
    </w:p>
    <w:p>
      <w:pPr>
        <w:pStyle w:val="kar_subsection"/>
      </w:pPr>
      <w:r>
        <w:rPr>
          <w:u w:val="single"/>
        </w:rPr>
        <w:t xml:space="preserve">(7)</w:t>
      </w:r>
      <w:r>
        <w:t>[</w:t>
      </w:r>
      <w:r>
        <w:rPr>
          <w:strike w:val="true"/>
        </w:rPr>
        <w:t xml:space="preserve">(5)</w:t>
      </w:r>
      <w:r>
        <w:t>]</w:t>
      </w:r>
      <w:r>
        <w:t xml:space="preserve"> </w:t>
      </w:r>
      <w:r>
        <w:rPr>
          <w:u w:val="single"/>
        </w:rPr>
        <w:t xml:space="preserve">"PDMP"</w:t>
      </w:r>
      <w:r>
        <w:t>[</w:t>
      </w:r>
      <w:r>
        <w:rPr>
          <w:strike w:val="true"/>
        </w:rPr>
        <w:t xml:space="preserve">"KASPER"</w:t>
      </w:r>
      <w:r>
        <w:t>]</w:t>
      </w:r>
      <w:r>
        <w:t xml:space="preserve"> means</w:t>
      </w:r>
      <w:r>
        <w:rPr>
          <w:u w:val="single"/>
        </w:rPr>
        <w:t xml:space="preserve"> the electronic prescription drug monitoring program system for monitoring scheduled controlled substances and medicinal cannabis currently in use in Kentucky pursuant to KRS 218A.202, including</w:t>
      </w:r>
      <w:r>
        <w:t xml:space="preserve"> the Kentucky All Schedule Prescription Electronic Reporting </w:t>
      </w:r>
      <w:r>
        <w:rPr>
          <w:u w:val="single"/>
        </w:rPr>
        <w:t xml:space="preserve">(KASPER) </w:t>
      </w:r>
      <w:r>
        <w:t xml:space="preserve">System</w:t>
      </w:r>
      <w:r>
        <w:t>[</w:t>
      </w:r>
      <w:r>
        <w:rPr>
          <w:strike w:val="true"/>
        </w:rPr>
        <w:t xml:space="preserve"> established in KRS 218A.202</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w:t>
      </w:r>
      <w:r>
        <w:rPr>
          <w:u w:val="single"/>
        </w:rPr>
        <w:t xml:space="preserve">APRN</w:t>
      </w:r>
      <w:r>
        <w:t>[</w:t>
      </w:r>
      <w:r>
        <w:rPr>
          <w:strike w:val="true"/>
        </w:rPr>
        <w:t xml:space="preserve">advanced practice registered nurse</w:t>
      </w:r>
      <w:r>
        <w:t>]</w:t>
      </w:r>
      <w:r>
        <w:t xml:space="preserv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rPr>
          <w:u w:val="single"/>
        </w:rPr>
        <w:t xml:space="preserve">CAPA-CS Practice Requirements for APRNs</w:t>
      </w:r>
    </w:p>
    <w:p>
      <w:pPr>
        <w:pStyle w:val="kar_subsection"/>
      </w:pPr>
      <w:r>
        <w:rPr>
          <w:u w:val="single"/>
        </w:rPr>
        <w:t xml:space="preserve">(1)</w:t>
      </w:r>
      <w:r>
        <w:t xml:space="preserve"> </w:t>
      </w:r>
      <w:r>
        <w:t xml:space="preserve">In the performance of advanced practice registered nursing, the </w:t>
      </w:r>
      <w:r>
        <w:rPr>
          <w:u w:val="single"/>
        </w:rPr>
        <w:t xml:space="preserve">APRN</w:t>
      </w:r>
      <w:r>
        <w:t>[</w:t>
      </w:r>
      <w:r>
        <w:rPr>
          <w:strike w:val="true"/>
        </w:rPr>
        <w:t xml:space="preserve">advanced practice registered nurse</w:t>
      </w:r>
      <w:r>
        <w:t>]</w:t>
      </w:r>
      <w:r>
        <w:t xml:space="preserve"> shall seek consultation or referral in those situations outside the </w:t>
      </w:r>
      <w:r>
        <w:rPr>
          <w:u w:val="single"/>
        </w:rPr>
        <w:t xml:space="preserve">APRN's</w:t>
      </w:r>
      <w:r>
        <w:t>[</w:t>
      </w:r>
      <w:r>
        <w:rPr>
          <w:strike w:val="true"/>
        </w:rPr>
        <w:t xml:space="preserve">advanced practice registered nurse's</w:t>
      </w:r>
      <w:r>
        <w:t>]</w:t>
      </w:r>
      <w:r>
        <w:t xml:space="preserve"> scope of practice.</w:t>
      </w:r>
    </w:p>
    <w:p>
      <w:pPr>
        <w:pStyle w:val="kar_subsection"/>
      </w:pPr>
      <w:r>
        <w:rPr>
          <w:u w:val="single"/>
        </w:rPr>
        <w:t xml:space="preserve">(2)</w:t>
      </w:r>
      <w:r>
        <w:t xml:space="preserve"> </w:t>
      </w:r>
      <w:r>
        <w:rPr>
          <w:u w:val="single"/>
        </w:rPr>
        <w:t xml:space="preserve">An APRN wishing to have a CAPA-CS in the first year of the APRN's licensure must be employed by a health care entity or provider. If the employing provider is an APRN, the employing APRN shall have been granted an exemption under Section 7 of this administrative regulation.</w:t>
      </w:r>
    </w:p>
    <w:p>
      <w:pPr>
        <w:pStyle w:val="kar_subsection"/>
      </w:pPr>
      <w:r>
        <w:rPr>
          <w:u w:val="single"/>
        </w:rPr>
        <w:t xml:space="preserve">(3)</w:t>
      </w:r>
      <w:r>
        <w:t xml:space="preserve"> </w:t>
      </w:r>
      <w:r>
        <w:rPr>
          <w:u w:val="single"/>
        </w:rPr>
        <w:t xml:space="preserve">During term of the CAPA-CS, the APRN and the collaborating physician shall meet, </w:t>
      </w:r>
      <w:r>
        <w:t>[</w:t>
      </w:r>
      <w:r>
        <w:rPr>
          <w:b/>
          <w:strike w:val="true"/>
          <w:u w:val="single"/>
        </w:rPr>
        <w:t xml:space="preserve">either</w:t>
      </w:r>
      <w:r>
        <w:t>]</w:t>
      </w:r>
      <w:r>
        <w:rPr>
          <w:u w:val="single"/>
        </w:rPr>
        <w:t xml:space="preserve"> in person or via video conferencing, </w:t>
      </w:r>
      <w:r>
        <w:rPr>
          <w:b/>
          <w:u w:val="single"/>
        </w:rPr>
        <w:t xml:space="preserve">or by phone, if in person or video conferencing is not feasible, </w:t>
      </w:r>
      <w:r>
        <w:rPr>
          <w:u w:val="single"/>
        </w:rPr>
        <w:t xml:space="preserve">to review the APRN's reverse PDMP report. The review may include information from the patient's medical record that relates to the condition or conditions being treated with controlled substances by the APRN.</w:t>
      </w:r>
    </w:p>
    <w:p>
      <w:pPr>
        <w:pStyle w:val="kar_paragraph"/>
      </w:pPr>
      <w:r>
        <w:rPr>
          <w:u w:val="single"/>
        </w:rPr>
        <w:t xml:space="preserve">(a)</w:t>
      </w:r>
      <w:r>
        <w:t xml:space="preserve"> </w:t>
      </w:r>
      <w:r>
        <w:rPr>
          <w:u w:val="single"/>
        </w:rPr>
        <w:t xml:space="preserve">Both the APRN and the physician shall maintain a record of:</w:t>
      </w:r>
    </w:p>
    <w:p>
      <w:pPr>
        <w:pStyle w:val="kar_subparagraph"/>
      </w:pPr>
      <w:r>
        <w:rPr>
          <w:u w:val="single"/>
        </w:rPr>
        <w:t xml:space="preserve">1.</w:t>
      </w:r>
      <w:r>
        <w:t xml:space="preserve"> </w:t>
      </w:r>
      <w:r>
        <w:rPr>
          <w:u w:val="single"/>
        </w:rPr>
        <w:t xml:space="preserve">The meeting date;</w:t>
      </w:r>
    </w:p>
    <w:p>
      <w:pPr>
        <w:pStyle w:val="kar_subparagraph"/>
      </w:pPr>
      <w:r>
        <w:rPr>
          <w:u w:val="single"/>
        </w:rPr>
        <w:t xml:space="preserve">2.</w:t>
      </w:r>
      <w:r>
        <w:t xml:space="preserve"> </w:t>
      </w:r>
      <w:r>
        <w:rPr>
          <w:u w:val="single"/>
        </w:rPr>
        <w:t xml:space="preserve">A summary of discussions; and</w:t>
      </w:r>
    </w:p>
    <w:p>
      <w:pPr>
        <w:pStyle w:val="kar_subparagraph"/>
      </w:pPr>
      <w:r>
        <w:rPr>
          <w:u w:val="single"/>
        </w:rPr>
        <w:t xml:space="preserve">3.</w:t>
      </w:r>
      <w:r>
        <w:t xml:space="preserve"> </w:t>
      </w:r>
      <w:r>
        <w:rPr>
          <w:u w:val="single"/>
        </w:rPr>
        <w:t xml:space="preserve">Any recommendations made shall be made in writing.</w:t>
      </w:r>
    </w:p>
    <w:p>
      <w:pPr>
        <w:pStyle w:val="kar_paragraph"/>
      </w:pPr>
      <w:r>
        <w:rPr>
          <w:u w:val="single"/>
        </w:rPr>
        <w:t xml:space="preserve">(b)</w:t>
      </w:r>
      <w:r>
        <w:t xml:space="preserve"> </w:t>
      </w:r>
      <w:r>
        <w:rPr>
          <w:u w:val="single"/>
        </w:rPr>
        <w:t xml:space="preserve">The record shall be maintained by both parties for a period of one (1) year past the expiration of the APRN CAPA-CS.</w:t>
      </w:r>
    </w:p>
    <w:p>
      <w:pPr>
        <w:pStyle w:val="kar_paragraph"/>
      </w:pPr>
      <w:r>
        <w:rPr>
          <w:u w:val="single"/>
        </w:rPr>
        <w:t xml:space="preserve">(c)</w:t>
      </w:r>
      <w:r>
        <w:t xml:space="preserve"> </w:t>
      </w:r>
      <w:r>
        <w:rPr>
          <w:u w:val="single"/>
        </w:rP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rPr>
          <w:u w:val="single"/>
        </w:rPr>
        <w:t xml:space="preserve">(4)</w:t>
      </w:r>
      <w:r>
        <w:t xml:space="preserve"> </w:t>
      </w:r>
      <w:r>
        <w:rPr>
          <w:u w:val="single"/>
        </w:rPr>
        <w:t xml:space="preserve">In the first year of the CAPA-CS, the APRN and a physician shall meet at least quarterly; and</w:t>
      </w:r>
    </w:p>
    <w:p>
      <w:pPr>
        <w:pStyle w:val="kar_subsection"/>
      </w:pPr>
      <w:r>
        <w:rPr>
          <w:u w:val="single"/>
        </w:rPr>
        <w:t xml:space="preserve">(5)</w:t>
      </w:r>
      <w:r>
        <w:t xml:space="preserve"> </w:t>
      </w:r>
      <w:r>
        <w:rPr>
          <w:u w:val="single"/>
        </w:rP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w:t>
      </w:r>
      <w:r>
        <w:rPr>
          <w:u w:val="single"/>
        </w:rPr>
        <w:t xml:space="preserve">and administering </w:t>
      </w:r>
      <w:r>
        <w:t xml:space="preserve">medications</w:t>
      </w:r>
      <w:r>
        <w:rPr>
          <w:u w:val="single"/>
        </w:rPr>
        <w:t xml:space="preserve">, as well as</w:t>
      </w:r>
      <w:r>
        <w:t>[</w:t>
      </w:r>
      <w:r>
        <w:rPr>
          <w:strike w:val="true"/>
        </w:rPr>
        <w:t xml:space="preserve">and</w:t>
      </w:r>
      <w:r>
        <w:t>]</w:t>
      </w:r>
      <w:r>
        <w:t xml:space="preserve"> ordering treatments, devices, diagnostic tests, and performing certain procedures that shall be consistent with the scope and standards of practice of the </w:t>
      </w:r>
      <w:r>
        <w:rPr>
          <w:u w:val="single"/>
        </w:rPr>
        <w:t xml:space="preserve">APRN</w:t>
      </w:r>
      <w:r>
        <w:t>[</w:t>
      </w:r>
      <w:r>
        <w:rPr>
          <w:strike w:val="true"/>
        </w:rPr>
        <w:t xml:space="preserve">advanced practice registered nurse</w:t>
      </w:r>
      <w:r>
        <w:t>]</w:t>
      </w:r>
      <w:r>
        <w:t xml:space="preserve">.</w:t>
      </w:r>
    </w:p>
    <w:p>
      <w:pPr>
        <w:pStyle w:val="kar_section"/>
      </w:pPr>
      <w:r>
        <w:t xml:space="preserve">Section 5.</w:t>
      </w:r>
      <w:r>
        <w:t xml:space="preserve"> </w:t>
      </w:r>
      <w:r>
        <w:t xml:space="preserve">Advanced practice registered nursing shall not preclude the practice by the </w:t>
      </w:r>
      <w:r>
        <w:rPr>
          <w:u w:val="single"/>
        </w:rPr>
        <w:t xml:space="preserve">APRN</w:t>
      </w:r>
      <w:r>
        <w:t>[</w:t>
      </w:r>
      <w:r>
        <w:rPr>
          <w:strike w:val="true"/>
        </w:rPr>
        <w:t xml:space="preserve">advanced practice registered nurse</w:t>
      </w:r>
      <w:r>
        <w:t>]</w:t>
      </w:r>
      <w:r>
        <w:t xml:space="preserve">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w:t>
      </w:r>
      <w:r>
        <w:rPr>
          <w:u w:val="single"/>
        </w:rPr>
        <w:t xml:space="preserve">APRN</w:t>
      </w:r>
      <w:r>
        <w:t>[</w:t>
      </w:r>
      <w:r>
        <w:rPr>
          <w:strike w:val="true"/>
        </w:rPr>
        <w:t xml:space="preserve">advanced practice registered nurse</w:t>
      </w:r>
      <w:r>
        <w:t>]</w:t>
      </w:r>
      <w:r>
        <w:t xml:space="preserve"> and each physician who is a party to the agreement; and</w:t>
      </w:r>
    </w:p>
    <w:p>
      <w:pPr>
        <w:pStyle w:val="kar_subparagraph"/>
      </w:pPr>
      <w:r>
        <w:t xml:space="preserve">5.</w:t>
      </w:r>
      <w:r>
        <w:t xml:space="preserve"> </w:t>
      </w:r>
      <w:r>
        <w:t xml:space="preserve">Population focus and area of practice of the </w:t>
      </w:r>
      <w:r>
        <w:rPr>
          <w:u w:val="single"/>
        </w:rPr>
        <w:t xml:space="preserve">APRN and each physician</w:t>
      </w:r>
      <w:r>
        <w:t>[</w:t>
      </w:r>
      <w:r>
        <w:rPr>
          <w:strike w:val="true"/>
        </w:rPr>
        <w:t xml:space="preserve">advanced practice registered nurse</w:t>
      </w:r>
      <w:r>
        <w:t>]</w:t>
      </w:r>
      <w:r>
        <w:t xml:space="preserve">.</w:t>
      </w:r>
    </w:p>
    <w:p>
      <w:pPr>
        <w:pStyle w:val="kar_paragraph"/>
      </w:pPr>
      <w:r>
        <w:t xml:space="preserve">(b)</w:t>
      </w:r>
      <w:r>
        <w:t xml:space="preserve"> </w:t>
      </w:r>
      <w:r>
        <w:t xml:space="preserve">An </w:t>
      </w:r>
      <w:r>
        <w:rPr>
          <w:u w:val="single"/>
        </w:rPr>
        <w:t xml:space="preserve">APRN</w:t>
      </w:r>
      <w:r>
        <w:t>[</w:t>
      </w:r>
      <w:r>
        <w:rPr>
          <w:strike w:val="true"/>
        </w:rPr>
        <w:t xml:space="preserve">advanced practice registered nurse</w:t>
      </w:r>
      <w:r>
        <w:t>]</w:t>
      </w:r>
      <w:r>
        <w:t xml:space="preserve"> shall use </w:t>
      </w:r>
      <w:r>
        <w:rPr>
          <w:u w:val="single"/>
        </w:rPr>
        <w:t xml:space="preserve">a</w:t>
      </w:r>
      <w:r>
        <w:t>[</w:t>
      </w:r>
      <w:r>
        <w:rPr>
          <w:strike w:val="true"/>
        </w:rPr>
        <w:t xml:space="preserve">the</w:t>
      </w:r>
      <w:r>
        <w:t>]</w:t>
      </w:r>
      <w:r>
        <w:t>[</w:t>
      </w:r>
      <w:r>
        <w:rPr>
          <w:strike w:val="true"/>
        </w:rPr>
        <w:t xml:space="preserve">Common</w:t>
      </w:r>
      <w:r>
        <w:t>]</w:t>
      </w:r>
      <w:r>
        <w:t xml:space="preserve"> CAPA-NS </w:t>
      </w:r>
      <w:r>
        <w:rPr>
          <w:u w:val="single"/>
        </w:rPr>
        <w:t xml:space="preserve">Agreement</w:t>
      </w:r>
      <w:r>
        <w:t>[</w:t>
      </w:r>
      <w:r>
        <w:rPr>
          <w:strike w:val="true"/>
        </w:rPr>
        <w:t xml:space="preserve">form</w:t>
      </w:r>
      <w:r>
        <w:t>]</w:t>
      </w:r>
      <w:r>
        <w:t xml:space="preserve">.</w:t>
      </w:r>
    </w:p>
    <w:p>
      <w:pPr>
        <w:pStyle w:val="kar_paragraph"/>
      </w:pPr>
      <w:r>
        <w:rPr>
          <w:u w:val="single"/>
        </w:rPr>
        <w:t xml:space="preserve">(c)</w:t>
      </w:r>
      <w:r>
        <w:t xml:space="preserve"> </w:t>
      </w:r>
      <w:r>
        <w:rPr>
          <w:u w:val="single"/>
        </w:rPr>
        <w:t xml:space="preserve">An APRN shall use the Standardized CAPA-CS Form</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w:t>
      </w:r>
      <w:r>
        <w:rPr>
          <w:u w:val="single"/>
        </w:rPr>
        <w:t xml:space="preserve">submit an online notification</w:t>
      </w:r>
      <w:r>
        <w:t>[</w:t>
      </w:r>
      <w:r>
        <w:rPr>
          <w:strike w:val="true"/>
        </w:rPr>
        <w:t xml:space="preserve">file the APRN Prescriptive Authority Notification Form</w:t>
      </w:r>
      <w:r>
        <w:t>]</w:t>
      </w:r>
      <w:r>
        <w:t xml:space="preserve">.</w:t>
      </w:r>
    </w:p>
    <w:p>
      <w:pPr>
        <w:pStyle w:val="kar_paragraph"/>
      </w:pPr>
      <w:r>
        <w:t xml:space="preserve">(c)</w:t>
      </w:r>
      <w:r>
        <w:t xml:space="preserve"> </w:t>
      </w:r>
      <w:r>
        <w:t xml:space="preserve">To notify the board of the existence of a CAPA-CS pursuant to KRS 314.042</w:t>
      </w:r>
      <w:r>
        <w:rPr>
          <w:u w:val="single"/>
        </w:rPr>
        <w:t xml:space="preserve">(11)(b)</w:t>
      </w:r>
      <w:r>
        <w:t>[</w:t>
      </w:r>
      <w:r>
        <w:rPr>
          <w:strike w:val="true"/>
        </w:rPr>
        <w:t xml:space="preserve">(10)(b)</w:t>
      </w:r>
      <w:r>
        <w:t>]</w:t>
      </w:r>
      <w:r>
        <w:t xml:space="preserve">, the APRN shall </w:t>
      </w:r>
      <w:r>
        <w:rPr>
          <w:u w:val="single"/>
        </w:rPr>
        <w:t xml:space="preserve">submit an online notification</w:t>
      </w:r>
      <w:r>
        <w:t>[</w:t>
      </w:r>
      <w:r>
        <w:rPr>
          <w:strike w:val="true"/>
        </w:rPr>
        <w:t xml:space="preserve">file with the board the APRN Prescriptive Authority Notification Form</w:t>
      </w:r>
      <w:r>
        <w:t>]</w:t>
      </w:r>
      <w:r>
        <w:t xml:space="preserve">.</w:t>
      </w:r>
    </w:p>
    <w:p>
      <w:pPr>
        <w:pStyle w:val="kar_paragraph"/>
      </w:pPr>
      <w:r>
        <w:rPr>
          <w:u w:val="single"/>
        </w:rPr>
        <w:t xml:space="preserve">(d)</w:t>
      </w:r>
      <w:r>
        <w:t xml:space="preserve"> </w:t>
      </w:r>
      <w:r>
        <w:rPr>
          <w:u w:val="single"/>
        </w:rP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administrative regulation 201 KAR 20:240, Section 3(1)(e). Each submitted request shall be subject to the fee, regardless of whether the board grants the exemption after making a determination under Section 7 of this administrative regulation.</w:t>
      </w:r>
    </w:p>
    <w:p>
      <w:pPr>
        <w:pStyle w:val="kar_paragraph"/>
      </w:pPr>
      <w:r>
        <w:rPr>
          <w:u w:val="single"/>
        </w:rPr>
        <w:t xml:space="preserve">(e)</w:t>
      </w:r>
      <w:r>
        <w:t xml:space="preserve"> </w:t>
      </w:r>
      <w:r>
        <w:rPr>
          <w:u w:val="single"/>
        </w:rPr>
        <w:t xml:space="preserve">All notifications, rescissions, and exemption requests shall be submitted by the APRN to the board via the online KBN Nurse Portal at www.kbn.ky.gov, and shall include the information and documentation required by subsections (1) and (2) of this section.</w:t>
      </w:r>
    </w:p>
    <w:p>
      <w:pPr>
        <w:pStyle w:val="kar_paragraph"/>
      </w:pPr>
      <w:r>
        <w:rPr>
          <w:u w:val="single"/>
        </w:rPr>
        <w:t xml:space="preserve">(f)</w:t>
      </w:r>
      <w:r>
        <w:t xml:space="preserve"> </w:t>
      </w:r>
      <w:r>
        <w:rPr>
          <w:u w:val="single"/>
        </w:rPr>
        <w:t xml:space="preserve">Upon request by the Board, the APRN shall furnish to the board a copy of the executed CAPA-NS Agreement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An APRN with </w:t>
      </w:r>
      <w:r>
        <w:rPr>
          <w:u w:val="single"/>
        </w:rPr>
        <w:t xml:space="preserve">controlled substance prescriptive authority</w:t>
      </w:r>
      <w:r>
        <w:t>[</w:t>
      </w:r>
      <w:r>
        <w:rPr>
          <w:strike w:val="true"/>
        </w:rPr>
        <w:t xml:space="preserve">a CAPA-CS</w:t>
      </w:r>
      <w:r>
        <w:t>]</w:t>
      </w:r>
      <w:r>
        <w:t xml:space="preserve">, shall</w:t>
      </w:r>
      <w:r>
        <w:rPr>
          <w:u w:val="single"/>
        </w:rPr>
        <w:t xml:space="preserve">:</w:t>
      </w:r>
    </w:p>
    <w:p>
      <w:pPr>
        <w:pStyle w:val="kar_paragraph"/>
      </w:pPr>
      <w:r>
        <w:rPr>
          <w:u w:val="single"/>
        </w:rPr>
        <w:t xml:space="preserve">(a)</w:t>
      </w:r>
      <w:r>
        <w:t xml:space="preserve"> </w:t>
      </w:r>
      <w:r>
        <w:t xml:space="preserve">Obtain a United States Drug Enforcement </w:t>
      </w:r>
      <w:r>
        <w:t>[</w:t>
      </w:r>
      <w:r>
        <w:rPr>
          <w:strike w:val="true"/>
        </w:rPr>
        <w:t xml:space="preserve">Agency</w:t>
      </w:r>
      <w:r>
        <w:t>]</w:t>
      </w:r>
      <w:r>
        <w:rPr>
          <w:u w:val="single"/>
        </w:rPr>
        <w:t xml:space="preserve">Administration</w:t>
      </w:r>
      <w:r>
        <w:t xml:space="preserve"> (DEA) Controlled Substance Registration Certificate and shall report </w:t>
      </w:r>
      <w:r>
        <w:t>[</w:t>
      </w:r>
      <w:r>
        <w:rPr>
          <w:strike w:val="true"/>
        </w:rPr>
        <w:t xml:space="preserve">all</w:t>
      </w:r>
      <w:r>
        <w:t>]</w:t>
      </w:r>
      <w:r>
        <w:rPr>
          <w:u w:val="single"/>
        </w:rPr>
        <w:t xml:space="preserve">the APRN's Kentucky</w:t>
      </w:r>
      <w:r>
        <w:t xml:space="preserve"> DEA </w:t>
      </w:r>
      <w:r>
        <w:rPr>
          <w:u w:val="single"/>
        </w:rPr>
        <w:t xml:space="preserve">number</w:t>
      </w:r>
      <w:r>
        <w:t>[</w:t>
      </w:r>
      <w:r>
        <w:rPr>
          <w:strike w:val="true"/>
        </w:rPr>
        <w:t xml:space="preserve">numbers</w:t>
      </w:r>
      <w:r>
        <w:t>]</w:t>
      </w:r>
      <w:r>
        <w:t xml:space="preserve">, </w:t>
      </w:r>
      <w:r>
        <w:t>[</w:t>
      </w:r>
      <w:r>
        <w:rPr>
          <w:strike w:val="true"/>
        </w:rPr>
        <w:t xml:space="preserve">including a DEA-X Controlled Substance Registration Certificate, </w:t>
      </w:r>
      <w:r>
        <w:t>]</w:t>
      </w:r>
      <w:r>
        <w:t xml:space="preserve">and any change in the status of a certificate by providing a copy of each registration certificate to the board within thirty (30) days of issuance.</w:t>
      </w:r>
    </w:p>
    <w:p>
      <w:pPr>
        <w:pStyle w:val="kar_paragraph"/>
      </w:pPr>
      <w:r>
        <w:t xml:space="preserve">(b)</w:t>
      </w:r>
      <w:r>
        <w:t xml:space="preserve"> </w:t>
      </w:r>
      <w:r>
        <w:t>[</w:t>
      </w:r>
      <w:r>
        <w:rPr>
          <w:strike w:val="true"/>
        </w:rPr>
        <w:t xml:space="preserve">An APRN shall </w:t>
      </w:r>
      <w:r>
        <w:t>]</w:t>
      </w:r>
      <w:r>
        <w:t xml:space="preserve">Register for a master account with the </w:t>
      </w:r>
      <w:r>
        <w:t>[</w:t>
      </w:r>
      <w:r>
        <w:rPr>
          <w:strike w:val="true"/>
        </w:rPr>
        <w:t xml:space="preserve">Kentucky All Schedule Prescription Electronic Reporting System (KASPER)</w:t>
      </w:r>
      <w:r>
        <w:t>]</w:t>
      </w:r>
      <w:r>
        <w:rPr>
          <w:u w:val="single"/>
        </w:rPr>
        <w:t xml:space="preserve">PDMP,</w:t>
      </w:r>
      <w:r>
        <w:t xml:space="preserve"> within thirty (30) days of obtaining a DEA Controlled Substance Registration Certificate, and prior to prescribing controlled substances. A copy of the </w:t>
      </w:r>
      <w:r>
        <w:t>[</w:t>
      </w:r>
      <w:r>
        <w:rPr>
          <w:strike w:val="true"/>
        </w:rPr>
        <w:t xml:space="preserve">KASPER</w:t>
      </w:r>
      <w:r>
        <w:t>]</w:t>
      </w:r>
      <w:r>
        <w:rPr>
          <w:u w:val="single"/>
        </w:rPr>
        <w:t xml:space="preserve">PDMP</w:t>
      </w:r>
      <w:r>
        <w:t xml:space="preserve"> master account registration certificate shall be submitted to the board via the online </w:t>
      </w:r>
      <w:r>
        <w:rPr>
          <w:u w:val="single"/>
        </w:rPr>
        <w:t xml:space="preserve">KBN Nurse Portal</w:t>
      </w:r>
      <w:r>
        <w:t>[</w:t>
      </w:r>
      <w:r>
        <w:rPr>
          <w:strike w:val="true"/>
        </w:rPr>
        <w:t xml:space="preserve">APRN Update portal</w:t>
      </w:r>
      <w:r>
        <w:t>]</w:t>
      </w:r>
      <w:r>
        <w:t xml:space="preserve"> within thirty (30) days of receipt of confirmation of registration by </w:t>
      </w:r>
      <w:r>
        <w:t>[</w:t>
      </w:r>
      <w:r>
        <w:rPr>
          <w:strike w:val="true"/>
        </w:rPr>
        <w:t xml:space="preserve">KASPER</w:t>
      </w:r>
      <w:r>
        <w:t>]</w:t>
      </w:r>
      <w:r>
        <w:rPr>
          <w:u w:val="single"/>
        </w:rPr>
        <w:t xml:space="preserve">the PDMP</w:t>
      </w:r>
      <w:r>
        <w:t xml:space="preserve">.</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w:t>
      </w:r>
      <w:r>
        <w:rPr>
          <w:b/>
          <w:u w:val="single"/>
        </w:rPr>
        <w:t xml:space="preserve">or CAPA-CS </w:t>
      </w:r>
      <w:r>
        <w:t xml:space="preserve">ends unexpectedly for reasons outside the APRN's control such as being ended by the physician without notice, the physician's license becoming no longer valid in Kentucky, or the death of a physician, the APRN may continue to prescribe</w:t>
      </w:r>
      <w:r>
        <w:t>[</w:t>
      </w:r>
      <w:r>
        <w:rPr>
          <w:b/>
          <w:strike w:val="true"/>
        </w:rPr>
        <w:t xml:space="preserve"> non-scheduled legend drugs</w:t>
      </w:r>
      <w:r>
        <w:t>]</w:t>
      </w:r>
      <w:r>
        <w:t xml:space="preserv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r>
        <w:t>[</w:t>
      </w:r>
      <w:r>
        <w:rPr>
          <w:b/>
          <w:strike w:val="true"/>
          <w:u w:val="single"/>
        </w:rPr>
        <w:t xml:space="preserve">If an APRN's CAPA-CS ends unexpectedly, </w:t>
      </w:r>
      <w:r>
        <w:rPr>
          <w:b/>
          <w:strike w:val="true"/>
        </w:rPr>
        <w:t xml:space="preserve">the APRN </w:t>
      </w:r>
      <w:r>
        <w:t>]</w:t>
      </w:r>
      <w:r>
        <w:t>[</w:t>
      </w:r>
      <w:r>
        <w:rPr>
          <w:strike w:val="true"/>
        </w:rPr>
        <w:t xml:space="preserve">with a CAPA-CS </w:t>
      </w:r>
      <w:r>
        <w:t>]</w:t>
      </w:r>
      <w:r>
        <w:t>[</w:t>
      </w:r>
      <w:r>
        <w:rPr>
          <w:b/>
          <w:strike w:val="true"/>
        </w:rPr>
        <w:t xml:space="preserve">shall cease prescribing controlled substances </w:t>
      </w:r>
      <w:r>
        <w:t>]</w:t>
      </w:r>
      <w:r>
        <w:t>[</w:t>
      </w:r>
      <w:r>
        <w:rPr>
          <w:strike w:val="true"/>
        </w:rPr>
        <w:t xml:space="preserve">if the collaborative agreement unexpectedly ends, </w:t>
      </w:r>
      <w:r>
        <w:t>]</w:t>
      </w:r>
      <w:r>
        <w:t>[</w:t>
      </w:r>
      <w:r>
        <w:rPr>
          <w:b/>
          <w:strike w:val="true"/>
        </w:rPr>
        <w:t xml:space="preserve">until the CAPA-CS is resumed</w:t>
      </w:r>
      <w:r>
        <w:rPr>
          <w:b/>
          <w:strike w:val="true"/>
          <w:u w:val="single"/>
        </w:rPr>
        <w:t xml:space="preserve">,</w:t>
      </w:r>
      <w:r>
        <w:t>]</w:t>
      </w:r>
      <w:r>
        <w:t>[</w:t>
      </w:r>
      <w:r>
        <w:rPr>
          <w:strike w:val="true"/>
        </w:rPr>
        <w:t xml:space="preserve">or </w:t>
      </w:r>
      <w:r>
        <w:t>]</w:t>
      </w:r>
      <w:r>
        <w:t>[</w:t>
      </w:r>
      <w:r>
        <w:rPr>
          <w:b/>
          <w:strike w:val="true"/>
        </w:rPr>
        <w:t xml:space="preserve">the APRN enters into a new CAPA-CS</w:t>
      </w:r>
      <w:r>
        <w:rPr>
          <w:b/>
          <w:strike w:val="true"/>
          <w:u w:val="single"/>
        </w:rPr>
        <w:t xml:space="preserve">, or the APRN is granted an exemption by the Board under Section 7 of this administrative regulation</w:t>
      </w:r>
      <w:r>
        <w:rPr>
          <w:b/>
          <w:strike w:val="true"/>
        </w:rPr>
        <w:t xml:space="preserve">.</w:t>
      </w:r>
      <w:r>
        <w:t>]</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w:t>
      </w:r>
      <w:r>
        <w:rPr>
          <w:u w:val="single"/>
        </w:rPr>
        <w:t xml:space="preserve">https://</w:t>
      </w:r>
      <w:r>
        <w:t xml:space="preserve">kbn.ky.gov</w:t>
      </w:r>
      <w:r>
        <w:t>[</w:t>
      </w:r>
      <w:r>
        <w:rPr>
          <w:strike w:val="true"/>
        </w:rPr>
        <w:t xml:space="preserve">, utilizing the tab APRN Update</w:t>
      </w:r>
      <w:r>
        <w:t>]</w:t>
      </w:r>
      <w:r>
        <w:t xml:space="preserve">. The board shall not accept documents or information sent in any other format.</w:t>
      </w:r>
    </w:p>
    <w:p>
      <w:pPr>
        <w:pStyle w:val="kar_section"/>
      </w:pPr>
      <w:r>
        <w:rPr>
          <w:u w:val="single"/>
        </w:rPr>
        <w:t xml:space="preserve">Section 7.</w:t>
      </w:r>
      <w:r>
        <w:t xml:space="preserve"> </w:t>
      </w:r>
      <w:r>
        <w:rPr>
          <w:u w:val="single"/>
        </w:rPr>
        <w:t xml:space="preserve">CAPA-CS Exemption Review Request.</w:t>
      </w:r>
    </w:p>
    <w:p>
      <w:pPr>
        <w:pStyle w:val="kar_subsection"/>
      </w:pPr>
      <w:r>
        <w:rPr>
          <w:u w:val="single"/>
        </w:rPr>
        <w:t xml:space="preserve">(1)</w:t>
      </w:r>
      <w:r>
        <w:t xml:space="preserve"> </w:t>
      </w:r>
      <w:r>
        <w:rPr>
          <w:u w:val="single"/>
        </w:rPr>
        <w:t xml:space="preserve">An APRN who wishes to request a CAPA-CS exemption pursuant to KRS 314.042(14) shall:</w:t>
      </w:r>
    </w:p>
    <w:p>
      <w:pPr>
        <w:pStyle w:val="kar_paragraph"/>
      </w:pPr>
      <w:r>
        <w:rPr>
          <w:u w:val="single"/>
        </w:rPr>
        <w:t xml:space="preserve">(a)</w:t>
      </w:r>
      <w:r>
        <w:t xml:space="preserve"> </w:t>
      </w:r>
      <w:r>
        <w:rPr>
          <w:u w:val="single"/>
        </w:rPr>
        <w:t xml:space="preserve">Complete a CAPA-CS exemption review request the board's website as required in Section 6(8) of this administrative regulation;</w:t>
      </w:r>
    </w:p>
    <w:p>
      <w:pPr>
        <w:pStyle w:val="kar_paragraph"/>
      </w:pPr>
      <w:r>
        <w:rPr>
          <w:u w:val="single"/>
        </w:rPr>
        <w:t xml:space="preserve">(b)</w:t>
      </w:r>
      <w:r>
        <w:t xml:space="preserve"> </w:t>
      </w:r>
      <w:r>
        <w:rPr>
          <w:u w:val="single"/>
        </w:rPr>
        <w:t xml:space="preserve">Submit the fee required by 201 KAR 20:240, Section 3(1)(e); and</w:t>
      </w:r>
    </w:p>
    <w:p>
      <w:pPr>
        <w:pStyle w:val="kar_paragraph"/>
      </w:pPr>
      <w:r>
        <w:rPr>
          <w:u w:val="single"/>
        </w:rPr>
        <w:t xml:space="preserve">(c)</w:t>
      </w:r>
      <w:r>
        <w:t xml:space="preserve"> </w:t>
      </w:r>
      <w:r>
        <w:rPr>
          <w:u w:val="single"/>
        </w:rPr>
        <w:t xml:space="preserve">Comply with the requirements established in KRS 314.042(14) and this administrative regulation.</w:t>
      </w:r>
    </w:p>
    <w:p>
      <w:pPr>
        <w:pStyle w:val="kar_subsection"/>
      </w:pPr>
      <w:r>
        <w:rPr>
          <w:u w:val="single"/>
        </w:rPr>
        <w:t xml:space="preserve">(2)</w:t>
      </w:r>
      <w:r>
        <w:t xml:space="preserve"> </w:t>
      </w:r>
      <w:r>
        <w:rPr>
          <w:u w:val="single"/>
        </w:rPr>
        <w:t xml:space="preserve">Upon receipt of the CAPA-CS exemption review request, the board shall verify the following:</w:t>
      </w:r>
    </w:p>
    <w:p>
      <w:pPr>
        <w:pStyle w:val="kar_paragraph"/>
      </w:pPr>
      <w:r>
        <w:rPr>
          <w:u w:val="single"/>
        </w:rPr>
        <w:t xml:space="preserve">(a)</w:t>
      </w:r>
      <w:r>
        <w:t xml:space="preserve"> </w:t>
      </w:r>
      <w:r>
        <w:rPr>
          <w:u w:val="single"/>
        </w:rPr>
        <w:t xml:space="preserve">The APRN has had four (4) years of controlled substance prescribing authority;</w:t>
      </w:r>
    </w:p>
    <w:p>
      <w:pPr>
        <w:pStyle w:val="kar_paragraph"/>
      </w:pPr>
      <w:r>
        <w:rPr>
          <w:u w:val="single"/>
        </w:rPr>
        <w:t xml:space="preserve">(b)</w:t>
      </w:r>
      <w:r>
        <w:t xml:space="preserve"> </w:t>
      </w:r>
      <w:r>
        <w:rPr>
          <w:u w:val="single"/>
        </w:rPr>
        <w:t xml:space="preserve">The APRN's license is in good standing;</w:t>
      </w:r>
    </w:p>
    <w:p>
      <w:pPr>
        <w:pStyle w:val="kar_paragraph"/>
      </w:pPr>
      <w:r>
        <w:rPr>
          <w:u w:val="single"/>
        </w:rPr>
        <w:t xml:space="preserve">(c)</w:t>
      </w:r>
      <w:r>
        <w:t xml:space="preserve"> </w:t>
      </w:r>
      <w:r>
        <w:rPr>
          <w:u w:val="single"/>
        </w:rPr>
        <w:t xml:space="preserve">The APRN has maintained a DEA registration and a current registration certificate is on file with the board;</w:t>
      </w:r>
    </w:p>
    <w:p>
      <w:pPr>
        <w:pStyle w:val="kar_paragraph"/>
      </w:pPr>
      <w:r>
        <w:rPr>
          <w:u w:val="single"/>
        </w:rPr>
        <w:t xml:space="preserve">(d)</w:t>
      </w:r>
      <w:r>
        <w:t xml:space="preserve"> </w:t>
      </w:r>
      <w:r>
        <w:rPr>
          <w:u w:val="single"/>
        </w:rPr>
        <w:t xml:space="preserve">The APRN has maintained a PDMP registration and a current registration is on file with the board;</w:t>
      </w:r>
    </w:p>
    <w:p>
      <w:pPr>
        <w:pStyle w:val="kar_paragraph"/>
      </w:pPr>
      <w:r>
        <w:rPr>
          <w:u w:val="single"/>
        </w:rPr>
        <w:t xml:space="preserve">(e)</w:t>
      </w:r>
      <w:r>
        <w:t xml:space="preserve"> </w:t>
      </w:r>
      <w:r>
        <w:rPr>
          <w:u w:val="single"/>
        </w:rPr>
        <w:t xml:space="preserve">That a current Notification of a CAPA-CS for the APRN is on record with the board; and</w:t>
      </w:r>
    </w:p>
    <w:p>
      <w:pPr>
        <w:pStyle w:val="kar_paragraph"/>
      </w:pPr>
      <w:r>
        <w:rPr>
          <w:u w:val="single"/>
        </w:rPr>
        <w:t xml:space="preserve">(f)</w:t>
      </w:r>
      <w:r>
        <w:t xml:space="preserve"> </w:t>
      </w:r>
      <w:r>
        <w:rPr>
          <w:u w:val="single"/>
        </w:rPr>
        <w:t xml:space="preserve">The APRN has an active account with the PDMP.</w:t>
      </w:r>
    </w:p>
    <w:p>
      <w:pPr>
        <w:pStyle w:val="kar_subsection"/>
      </w:pPr>
      <w:r>
        <w:rPr>
          <w:u w:val="single"/>
        </w:rPr>
        <w:t xml:space="preserve">(3)</w:t>
      </w:r>
      <w:r>
        <w:t xml:space="preserve"> </w:t>
      </w:r>
      <w:r>
        <w:rPr>
          <w:u w:val="single"/>
        </w:rPr>
        <w:t xml:space="preserve">Upon receipt of the CAPA-CS exemption review request, the board shall:</w:t>
      </w:r>
    </w:p>
    <w:p>
      <w:pPr>
        <w:pStyle w:val="kar_paragraph"/>
      </w:pPr>
      <w:r>
        <w:rPr>
          <w:u w:val="single"/>
        </w:rPr>
        <w:t xml:space="preserve">(a)</w:t>
      </w:r>
      <w:r>
        <w:t xml:space="preserve"> </w:t>
      </w:r>
      <w:r>
        <w:rPr>
          <w:u w:val="single"/>
        </w:rPr>
        <w:t xml:space="preserve">Perform a criminal background check for any unreported misdemeanor or felony convictions in Kentucky; and</w:t>
      </w:r>
    </w:p>
    <w:p>
      <w:pPr>
        <w:pStyle w:val="kar_paragraph"/>
      </w:pPr>
      <w:r>
        <w:rPr>
          <w:u w:val="single"/>
        </w:rPr>
        <w:t xml:space="preserve">(b)</w:t>
      </w:r>
      <w:r>
        <w:t xml:space="preserve"> </w:t>
      </w:r>
      <w:r>
        <w:rPr>
          <w:u w:val="single"/>
        </w:rPr>
        <w:t xml:space="preserve">Perform a check of the coordinated licensure information system specified in KRS 314.475 for any unreported disciplinary actions in another state.</w:t>
      </w:r>
    </w:p>
    <w:p>
      <w:pPr>
        <w:pStyle w:val="kar_subsection"/>
      </w:pPr>
      <w:r>
        <w:rPr>
          <w:u w:val="single"/>
        </w:rPr>
        <w:t xml:space="preserve">(4)</w:t>
      </w:r>
      <w:r>
        <w:t xml:space="preserve"> </w:t>
      </w:r>
      <w:r>
        <w:rPr>
          <w:u w:val="single"/>
        </w:rPr>
        <w:t xml:space="preserve">The APRN submitting the request shall cooperate with supplemental requests for documentation before the board makes a determination that the APRN's license is in good standing pursuant to KRS 314.042(14).</w:t>
      </w:r>
    </w:p>
    <w:p>
      <w:pPr>
        <w:pStyle w:val="kar_subsection"/>
      </w:pPr>
      <w:r>
        <w:rPr>
          <w:u w:val="single"/>
        </w:rPr>
        <w:t xml:space="preserve">(5)</w:t>
      </w:r>
      <w:r>
        <w:t xml:space="preserve"> </w:t>
      </w:r>
      <w:r>
        <w:rPr>
          <w:u w:val="single"/>
        </w:rPr>
        <w:t xml:space="preserve">An APRN wishing to practice in Kentucky through licensure by endorsement may request an exemption under this section.</w:t>
      </w:r>
    </w:p>
    <w:p>
      <w:pPr>
        <w:pStyle w:val="kar_paragraph"/>
      </w:pPr>
      <w:r>
        <w:rPr>
          <w:u w:val="single"/>
        </w:rPr>
        <w:t xml:space="preserve">(a)</w:t>
      </w:r>
      <w:r>
        <w:t xml:space="preserve"> </w:t>
      </w:r>
      <w:r>
        <w:rPr>
          <w:u w:val="single"/>
        </w:rPr>
        <w:t xml:space="preserve">An APRN wishing to practice in Kentucky through licensure by endorsement is exempt from the CAPA-CS requirement if the APRN:</w:t>
      </w:r>
    </w:p>
    <w:p>
      <w:pPr>
        <w:pStyle w:val="kar_subparagraph"/>
      </w:pPr>
      <w:r>
        <w:rPr>
          <w:u w:val="single"/>
        </w:rPr>
        <w:t xml:space="preserve">1.</w:t>
      </w:r>
      <w:r>
        <w:t xml:space="preserve"> </w:t>
      </w:r>
      <w:r>
        <w:rPr>
          <w:u w:val="single"/>
        </w:rPr>
        <w:t xml:space="preserve">Has met the prescribing requirements for controlled substances in a state that grants such prescribing authority to APRNs;</w:t>
      </w:r>
    </w:p>
    <w:p>
      <w:pPr>
        <w:pStyle w:val="kar_subparagraph"/>
      </w:pPr>
      <w:r>
        <w:rPr>
          <w:u w:val="single"/>
        </w:rPr>
        <w:t xml:space="preserve">2.</w:t>
      </w:r>
      <w:r>
        <w:t xml:space="preserve"> </w:t>
      </w:r>
      <w:r>
        <w:rPr>
          <w:u w:val="single"/>
        </w:rPr>
        <w:t xml:space="preserve">Has had authority to prescribe controlled substances for at least four (4) years; and</w:t>
      </w:r>
    </w:p>
    <w:p>
      <w:pPr>
        <w:pStyle w:val="kar_subparagraph"/>
      </w:pPr>
      <w:r>
        <w:rPr>
          <w:u w:val="single"/>
        </w:rPr>
        <w:t xml:space="preserve">3.</w:t>
      </w:r>
      <w:r>
        <w:t xml:space="preserve"> </w:t>
      </w:r>
      <w:r>
        <w:rPr>
          <w:u w:val="single"/>
        </w:rPr>
        <w:t xml:space="preserve">Has a license in good standing.</w:t>
      </w:r>
    </w:p>
    <w:p>
      <w:pPr>
        <w:pStyle w:val="kar_paragraph"/>
      </w:pPr>
      <w:r>
        <w:rPr>
          <w:u w:val="single"/>
        </w:rPr>
        <w:t xml:space="preserve">(b)</w:t>
      </w:r>
      <w:r>
        <w:t xml:space="preserve"> </w:t>
      </w:r>
      <w:r>
        <w:rPr>
          <w:u w:val="single"/>
        </w:rP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rPr>
          <w:u w:val="single"/>
        </w:rPr>
        <w:t xml:space="preserve">(6)</w:t>
      </w:r>
      <w:r>
        <w:t xml:space="preserve"> </w:t>
      </w:r>
      <w:r>
        <w:rPr>
          <w:u w:val="single"/>
        </w:rP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such a requirement as part of an action instituted under KRS 314.091(1).</w:t>
      </w:r>
    </w:p>
    <w:p>
      <w:pPr>
        <w:pStyle w:val="kar_subsection"/>
      </w:pPr>
      <w:r>
        <w:rPr>
          <w:u w:val="single"/>
        </w:rPr>
        <w:t xml:space="preserve">(7)</w:t>
      </w:r>
      <w:r>
        <w:t xml:space="preserve"> </w:t>
      </w:r>
      <w:r>
        <w:rPr>
          <w:u w:val="single"/>
        </w:rPr>
        <w:t xml:space="preserve">If the board denies the exemption request, the denial shall be in writing and shall state the reasons for the denial. The requestor may request a hearing pursuant to KRS 13B within twenty (20) days of receiving written notification of the denial. If a hearing is requested and the order of the board is adverse to the advance practice registered nurse, the board may impose costs pursuant to administrative regulation 201 KAR 20:162, Section 7.</w:t>
      </w:r>
    </w:p>
    <w:p>
      <w:pPr>
        <w:pStyle w:val="kar_subsection"/>
      </w:pPr>
      <w:r>
        <w:rPr>
          <w:u w:val="single"/>
        </w:rPr>
        <w:t xml:space="preserve">(8)</w:t>
      </w:r>
      <w:r>
        <w:t xml:space="preserve"> </w:t>
      </w:r>
      <w:r>
        <w:rPr>
          <w:u w:val="single"/>
        </w:rPr>
        <w:t xml:space="preserve">The APRN nurse shall not prescribe controlled substances without a CAPA-CS until the board has completed its review and has notified the APRN in writing that the APRN is exempt from the CAPA-CS requirement.</w:t>
      </w:r>
    </w:p>
    <w:p>
      <w:pPr>
        <w:pStyle w:val="kar_section"/>
      </w:pPr>
      <w:r>
        <w:rPr>
          <w:u w:val="single"/>
        </w:rPr>
        <w:t xml:space="preserve">Section 8.</w:t>
      </w:r>
      <w:r>
        <w:t>[</w:t>
      </w:r>
      <w:r>
        <w:rPr>
          <w:strike w:val="true"/>
        </w:rPr>
        <w:t xml:space="preserve">Section 7.</w:t>
      </w:r>
      <w:r>
        <w:t>]</w:t>
      </w:r>
      <w:r>
        <w:t xml:space="preserve"> </w:t>
      </w:r>
      <w:r>
        <w:rPr>
          <w:u w:val="single"/>
        </w:rPr>
        <w:t xml:space="preserve">Prescribing Medications without Prescriptive Authority. </w:t>
      </w:r>
      <w:r>
        <w:t xml:space="preserve">Prescribing </w:t>
      </w:r>
      <w:r>
        <w:rPr>
          <w:u w:val="single"/>
        </w:rPr>
        <w:t xml:space="preserve">nonscheduled legend drugs</w:t>
      </w:r>
      <w:r>
        <w:t>[</w:t>
      </w:r>
      <w:r>
        <w:rPr>
          <w:strike w:val="true"/>
        </w:rPr>
        <w:t xml:space="preserve">medications</w:t>
      </w:r>
      <w:r>
        <w:t>]</w:t>
      </w:r>
      <w:r>
        <w:t xml:space="preserve"> without a CAPA-NS or </w:t>
      </w:r>
      <w:r>
        <w:rPr>
          <w:u w:val="single"/>
        </w:rPr>
        <w:t xml:space="preserve">prescribing controlled substances without </w:t>
      </w:r>
      <w:r>
        <w:t xml:space="preserve">a CAPA-CS shall constitute a violation of KRS 314.091(1), </w:t>
      </w:r>
      <w:r>
        <w:rPr>
          <w:u w:val="single"/>
        </w:rPr>
        <w:t xml:space="preserve">unless;</w:t>
      </w:r>
      <w:r>
        <w:t>[</w:t>
      </w:r>
      <w:r>
        <w:rPr>
          <w:strike w:val="true"/>
        </w:rPr>
        <w:t xml:space="preserve">except if</w:t>
      </w:r>
      <w:r>
        <w:t>]</w:t>
      </w:r>
    </w:p>
    <w:p>
      <w:pPr>
        <w:pStyle w:val="kar_subsection"/>
      </w:pPr>
      <w:r>
        <w:rPr>
          <w:u w:val="single"/>
        </w:rPr>
        <w:t xml:space="preserve">(1)</w:t>
      </w:r>
      <w:r>
        <w:t xml:space="preserve"> </w:t>
      </w:r>
      <w:r>
        <w:rPr>
          <w:u w:val="single"/>
        </w:rPr>
        <w:t xml:space="preserve">In the case of nonscheduled legend drugs, the</w:t>
      </w:r>
      <w:r>
        <w:t>[</w:t>
      </w:r>
      <w:r>
        <w:rPr>
          <w:strike w:val="true"/>
        </w:rPr>
        <w:t xml:space="preserve">a</w:t>
      </w:r>
      <w:r>
        <w:t>]</w:t>
      </w:r>
      <w:r>
        <w:t xml:space="preserve"> CAPA-NS has been discontinued pursuant to KRS 314.042(9) or if the prescribing occurred within the grace period established in Section 6(6) of this administrative regulation</w:t>
      </w:r>
      <w:r>
        <w:rPr>
          <w:u w:val="single"/>
        </w:rPr>
        <w:t xml:space="preserve">; or</w:t>
      </w:r>
      <w:r>
        <w:t>[</w:t>
      </w:r>
      <w:r>
        <w:rPr>
          <w:strike w:val="true"/>
        </w:rPr>
        <w:t xml:space="preserve">.</w:t>
      </w:r>
      <w:r>
        <w:t>]</w:t>
      </w:r>
    </w:p>
    <w:p>
      <w:pPr>
        <w:pStyle w:val="kar_subsection"/>
      </w:pPr>
      <w:r>
        <w:rPr>
          <w:u w:val="single"/>
        </w:rPr>
        <w:t xml:space="preserve">(2)</w:t>
      </w:r>
      <w:r>
        <w:t xml:space="preserve"> </w:t>
      </w:r>
      <w:r>
        <w:rPr>
          <w:u w:val="single"/>
        </w:rPr>
        <w:t xml:space="preserve">In the case of controlled substances, the APRN was granted an CAPA-CS exemption by the Board under KRS 314.042(14)(e) prior to the date the medications were prescribed.</w:t>
      </w:r>
    </w:p>
    <w:p>
      <w:pPr>
        <w:pStyle w:val="kar_section"/>
      </w:pPr>
      <w:r>
        <w:rPr>
          <w:u w:val="single"/>
        </w:rPr>
        <w:t xml:space="preserve">Section 9.</w:t>
      </w:r>
      <w:r>
        <w:t>[</w:t>
      </w:r>
      <w:r>
        <w:rPr>
          <w:strike w:val="true"/>
        </w:rPr>
        <w:t xml:space="preserve">Section 8.</w:t>
      </w:r>
      <w:r>
        <w:t>]</w:t>
      </w:r>
      <w:r>
        <w:t xml:space="preserve"> </w:t>
      </w:r>
      <w:r>
        <w:t xml:space="preserve">The board may make an unannounced visit to an </w:t>
      </w:r>
      <w:r>
        <w:t>[</w:t>
      </w:r>
      <w:r>
        <w:rPr>
          <w:strike w:val="true"/>
        </w:rPr>
        <w:t xml:space="preserve">advanced practice registered nurse</w:t>
      </w:r>
      <w:r>
        <w:t>]</w:t>
      </w:r>
      <w:r>
        <w:rPr>
          <w:u w:val="single"/>
        </w:rPr>
        <w:t xml:space="preserve">APRN's practice</w:t>
      </w:r>
      <w:r>
        <w:t xml:space="preserve"> to determine if the </w:t>
      </w:r>
      <w:r>
        <w:t>[</w:t>
      </w:r>
      <w:r>
        <w:rPr>
          <w:strike w:val="true"/>
        </w:rPr>
        <w:t xml:space="preserve">advanced practice registered nurse's practice</w:t>
      </w:r>
      <w:r>
        <w:t>]</w:t>
      </w:r>
      <w:r>
        <w:rPr>
          <w:u w:val="single"/>
        </w:rPr>
        <w:t xml:space="preserve">it</w:t>
      </w:r>
      <w:r>
        <w:t xml:space="preserve"> is consistent with the requirements established by KRS Chapter 314 and 201 KAR Chapter 20</w:t>
      </w:r>
      <w:r>
        <w:rPr>
          <w:u w:val="single"/>
        </w:rPr>
        <w:t xml:space="preserve">. </w:t>
      </w:r>
      <w:r>
        <w:t>[</w:t>
      </w:r>
      <w:r>
        <w:rPr>
          <w:strike w:val="true"/>
        </w:rPr>
        <w:t xml:space="preserve">, and patient</w:t>
      </w:r>
      <w:r>
        <w:t>]</w:t>
      </w:r>
      <w:r>
        <w:rPr>
          <w:u w:val="single"/>
        </w:rPr>
        <w:t xml:space="preserve"> Patient</w:t>
      </w:r>
      <w:r>
        <w:t xml:space="preserve"> and prescribing records shall be made available for immediate inspection.</w:t>
      </w:r>
    </w:p>
    <w:p>
      <w:pPr>
        <w:pStyle w:val="kar_section"/>
      </w:pPr>
      <w:r>
        <w:rPr>
          <w:u w:val="single"/>
        </w:rPr>
        <w:t xml:space="preserve">Section 10.</w:t>
      </w:r>
      <w:r>
        <w:t>[</w:t>
      </w:r>
      <w:r>
        <w:rPr>
          <w:strike w:val="true"/>
        </w:rPr>
        <w:t xml:space="preserve">Section 9.</w:t>
      </w:r>
      <w:r>
        <w:t>]</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w:t>
      </w:r>
      <w:r>
        <w:rPr>
          <w:u w:val="single"/>
        </w:rPr>
        <w:t xml:space="preserve">APRNs</w:t>
      </w:r>
      <w:r>
        <w:t>[</w:t>
      </w:r>
      <w:r>
        <w:rPr>
          <w:strike w:val="true"/>
        </w:rPr>
        <w:t xml:space="preserve">APRN</w:t>
      </w:r>
      <w:r>
        <w:t>]</w:t>
      </w:r>
      <w:r>
        <w:t xml:space="preserve"> with </w:t>
      </w:r>
      <w:r>
        <w:rPr>
          <w:u w:val="single"/>
        </w:rPr>
        <w:t xml:space="preserve">controlled substance prescriptive authority</w:t>
      </w:r>
      <w:r>
        <w:t>[</w:t>
      </w:r>
      <w:r>
        <w:rPr>
          <w:strike w:val="true"/>
        </w:rPr>
        <w:t xml:space="preserve">a CAPA-CS, if prescribing a controlled substance</w:t>
      </w:r>
      <w:r>
        <w:t>]</w:t>
      </w:r>
      <w:r>
        <w:t xml:space="preserve">. It also applies to the utilization of </w:t>
      </w:r>
      <w:r>
        <w:t>[</w:t>
      </w:r>
      <w:r>
        <w:rPr>
          <w:strike w:val="true"/>
        </w:rPr>
        <w:t xml:space="preserve">KASPER</w:t>
      </w:r>
      <w:r>
        <w:t>]</w:t>
      </w:r>
      <w:r>
        <w:rPr>
          <w:u w:val="single"/>
        </w:rPr>
        <w:t xml:space="preserve">the PDMP</w:t>
      </w:r>
      <w:r>
        <w:t xml:space="preserve">.</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maintain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w:t>
      </w:r>
      <w:r>
        <w:t>[</w:t>
      </w:r>
      <w:r>
        <w:rPr>
          <w:strike w:val="true"/>
        </w:rPr>
        <w:t xml:space="preserve">KASPER</w:t>
      </w:r>
      <w:r>
        <w:t>]</w:t>
      </w:r>
      <w:r>
        <w:rPr>
          <w:u w:val="single"/>
        </w:rPr>
        <w:t xml:space="preserve">the PDMP</w:t>
      </w:r>
      <w:r>
        <w:t xml:space="preserve"> no less than once every three (3) months for the twelve (12) month period immediately preceding the request for available data on the patient. The APRN shall maintain in the patient's record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or a copy or saved image of the </w:t>
      </w:r>
      <w:r>
        <w:t>[</w:t>
      </w:r>
      <w:r>
        <w:rPr>
          <w:strike w:val="true"/>
        </w:rPr>
        <w:t xml:space="preserve">KASPER</w:t>
      </w:r>
      <w:r>
        <w:t>]</w:t>
      </w:r>
      <w:r>
        <w:rPr>
          <w:u w:val="single"/>
        </w:rPr>
        <w:t xml:space="preserve">PDMP</w:t>
      </w:r>
      <w:r>
        <w:t xml:space="preserve">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w:t>
      </w:r>
      <w:r>
        <w:t>[</w:t>
      </w:r>
      <w:r>
        <w:rPr>
          <w:strike w:val="true"/>
        </w:rPr>
        <w:t xml:space="preserve">KASPER</w:t>
      </w:r>
      <w:r>
        <w:t>]</w:t>
      </w:r>
      <w:r>
        <w:rPr>
          <w:u w:val="single"/>
        </w:rPr>
        <w:t xml:space="preserve">PDMP</w:t>
      </w:r>
      <w:r>
        <w:t xml:space="preserve">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w:t>
      </w:r>
      <w:r>
        <w:rPr>
          <w:u w:val="single"/>
        </w:rPr>
        <w:t xml:space="preserve">,</w:t>
      </w:r>
      <w:r>
        <w:t>[</w:t>
      </w:r>
      <w:r>
        <w:rPr>
          <w:strike w:val="true"/>
        </w:rPr>
        <w:t xml:space="preserve">.</w:t>
      </w:r>
      <w:r>
        <w:t>]</w:t>
      </w:r>
      <w:r>
        <w:t xml:space="preserve">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w:t>
      </w:r>
      <w:r>
        <w:t>[</w:t>
      </w:r>
      <w:r>
        <w:rPr>
          <w:strike w:val="true"/>
        </w:rPr>
        <w:t xml:space="preserve">or not </w:t>
      </w:r>
      <w:r>
        <w:t>]</w:t>
      </w:r>
      <w:r>
        <w:t xml:space="preserve">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w:t>
      </w:r>
    </w:p>
    <w:p>
      <w:pPr>
        <w:pStyle w:val="kar_subsection"/>
      </w:pPr>
      <w:r>
        <w:t xml:space="preserve">(11)</w:t>
      </w:r>
      <w:r>
        <w:t xml:space="preserve"> </w:t>
      </w:r>
      <w:r>
        <w:t xml:space="preserve">The requirement to query </w:t>
      </w:r>
      <w:r>
        <w:t>[</w:t>
      </w:r>
      <w:r>
        <w:rPr>
          <w:strike w:val="true"/>
        </w:rPr>
        <w:t xml:space="preserve">KASPER</w:t>
      </w:r>
      <w:r>
        <w:t>]</w:t>
      </w:r>
      <w:r>
        <w:rPr>
          <w:u w:val="single"/>
        </w:rPr>
        <w:t xml:space="preserve">the PDMP</w:t>
      </w:r>
      <w:r>
        <w:t xml:space="preserve">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w:t>
      </w:r>
      <w:r>
        <w:t>[</w:t>
      </w:r>
      <w:r>
        <w:rPr>
          <w:strike w:val="true"/>
        </w:rPr>
        <w:t xml:space="preserve">KASPER</w:t>
      </w:r>
      <w:r>
        <w:t>]</w:t>
      </w:r>
      <w:r>
        <w:rPr>
          <w:u w:val="single"/>
        </w:rPr>
        <w:t xml:space="preserve">the PDMP</w:t>
      </w:r>
      <w:r>
        <w:t xml:space="preserve">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w:t>
      </w:r>
      <w:r>
        <w:t>[</w:t>
      </w:r>
      <w:r>
        <w:rPr>
          <w:strike w:val="true"/>
        </w:rPr>
        <w:t xml:space="preserve">KASPER</w:t>
      </w:r>
      <w:r>
        <w:t>]</w:t>
      </w:r>
      <w:r>
        <w:rPr>
          <w:u w:val="single"/>
        </w:rPr>
        <w:t xml:space="preserve">PDMP</w:t>
      </w:r>
      <w:r>
        <w:t xml:space="preserve"> report for the preceding six (6) months to determine if the information contained in </w:t>
      </w:r>
      <w:r>
        <w:t>[</w:t>
      </w:r>
      <w:r>
        <w:rPr>
          <w:strike w:val="true"/>
        </w:rPr>
        <w:t xml:space="preserve">KASPER</w:t>
      </w:r>
      <w:r>
        <w:t>]</w:t>
      </w:r>
      <w:r>
        <w:rPr>
          <w:u w:val="single"/>
        </w:rPr>
        <w:t xml:space="preserve">the PDMP</w:t>
      </w:r>
      <w:r>
        <w:t xml:space="preserve">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rPr>
          <w:u w:val="single"/>
        </w:rPr>
        <w:t xml:space="preserve">Section 11.</w:t>
      </w:r>
      <w:r>
        <w:t>[</w:t>
      </w:r>
      <w:r>
        <w:rPr>
          <w:strike w:val="true"/>
        </w:rPr>
        <w:t xml:space="preserve">Section 10.</w:t>
      </w:r>
      <w:r>
        <w:t>]</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rPr>
          <w:u w:val="single"/>
        </w:rPr>
        <w:t xml:space="preserve">"Standardized CAPA-CS Agreement Form", _9/2023</w:t>
      </w:r>
      <w:r>
        <w:t>[</w:t>
      </w:r>
      <w:r>
        <w:rPr>
          <w:strike w:val="true"/>
        </w:rPr>
        <w:t xml:space="preserve">"APRN Prescriptive Authority Notification Form", 6/2018, Kentucky Board of Nursing</w:t>
      </w:r>
      <w:r>
        <w:t>]</w:t>
      </w:r>
      <w:r>
        <w:t xml:space="preserve">; and</w:t>
      </w:r>
    </w:p>
    <w:p>
      <w:pPr>
        <w:pStyle w:val="kar_paragraph"/>
      </w:pPr>
      <w:r>
        <w:t xml:space="preserve">(r)</w:t>
      </w:r>
      <w:r>
        <w:t xml:space="preserve"> </w:t>
      </w:r>
      <w:r>
        <w:t xml:space="preserve">"</w:t>
      </w:r>
      <w:r>
        <w:t>[</w:t>
      </w:r>
      <w:r>
        <w:rPr>
          <w:strike w:val="true"/>
        </w:rPr>
        <w:t xml:space="preserve">Common </w:t>
      </w:r>
      <w:r>
        <w:t>]</w:t>
      </w:r>
      <w:r>
        <w:t xml:space="preserve">CAPA-NS </w:t>
      </w:r>
      <w:r>
        <w:rPr>
          <w:u w:val="single"/>
        </w:rPr>
        <w:t xml:space="preserve">Agreement </w:t>
      </w:r>
      <w:r>
        <w:t xml:space="preserve">Form", </w:t>
      </w:r>
      <w:r>
        <w:rPr>
          <w:u w:val="single"/>
        </w:rPr>
        <w:t xml:space="preserve">9/2023</w:t>
      </w:r>
      <w:r>
        <w:t>[</w:t>
      </w:r>
      <w:r>
        <w:rPr>
          <w:strike w:val="true"/>
        </w:rPr>
        <w:t xml:space="preserve">6/2015,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u w:val="single"/>
        </w:rPr>
        <w:t xml:space="preserve">https://kbn.ky.gov/General/Pages/Document-Library.aspx</w:t>
      </w:r>
      <w:r>
        <w:t>[</w:t>
      </w:r>
      <w:r>
        <w:rPr>
          <w:strike w:val="true"/>
        </w:rPr>
        <w:t xml:space="preserve">https://kbn.ky.gov/legalopinions/Pages/laws.aspx</w:t>
      </w:r>
      <w:r>
        <w:t>]</w:t>
      </w:r>
      <w:r>
        <w:t xml:space="preserve">.</w:t>
      </w:r>
    </w:p>
    <w:p>
      <w:pPr>
        <w:pStyle w:val="kar_signature"/>
      </w:pPr>
      <w:r>
        <w:t xml:space="preserve">AUDRIA DENKER, President</w:t>
      </w:r>
    </w:p>
    <w:p>
      <w:pPr>
        <w:pStyle w:val="kar_normal"/>
      </w:pPr>
      <w:r>
        <w:t xml:space="preserve"/>
      </w:r>
    </w:p>
    <w:p>
      <w:pPr>
        <w:pStyle w:val="kar_approved_by"/>
      </w:pPr>
      <w:r>
        <w:t xml:space="preserve">APPROVED BY AGENCY: January 5, 2024</w:t>
      </w:r>
    </w:p>
    <w:p>
      <w:pPr>
        <w:pStyle w:val="kar_filed"/>
      </w:pPr>
      <w:r>
        <w:t xml:space="preserve">FILED WITH LRC: January 11, 2024 at 10:05 a.m.</w:t>
      </w:r>
    </w:p>
    <w:p>
      <w:pPr>
        <w:pStyle w:val="kar_normal"/>
      </w:pPr>
      <w:r>
        <w:t xml:space="preserve"/>
      </w:r>
    </w:p>
    <w:p>
      <w:pPr>
        <w:pStyle w:val="kar_contact_person"/>
      </w:pPr>
      <w:r>
        <w:t xml:space="preserve">CONTACT PERSON: Jeffrey R. Prather, General Counsel, Kentucky Board of Nursing, 312 Whittington Parkway, Suite 300, Louisville, Kentucky 40222, (502) 338-2851, Jeffrey.Prather@ky.gov. 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APRN practice.</w:t>
      </w:r>
    </w:p>
    <w:p>
      <w:pPr>
        <w:pStyle w:val="kar_normal"/>
        <w:ind w:left="576"/>
      </w:pPr>
      <w:r>
        <w:t xml:space="preserve">(b) The necessity of this administrative regulation:</w:t>
      </w:r>
    </w:p>
    <w:p>
      <w:pPr>
        <w:pStyle w:val="kar_normal"/>
        <w:ind w:left="720"/>
      </w:pPr>
      <w:r>
        <w:t xml:space="preserve">This administrative regulation is necessary because of KRS 314.042.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of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clears up regulatory language to use "APRN"; adds definitions for "Good standing", "Immediate family" and "PDMP" (prescription drug monitoring program). It establishes regulatory standards for APRNs engaged in a CAPA-CS, including creation of a new CAPA-CS form. The amendments further provide for the regulatory process by which an APRN may request an exemption from the CAPA-CS requirement, in accordance with Senate Bill (SB) 94 (2023RS).</w:t>
      </w:r>
    </w:p>
    <w:p>
      <w:pPr>
        <w:pStyle w:val="kar_normal"/>
        <w:ind w:left="576"/>
      </w:pPr>
      <w:r>
        <w:t xml:space="preserve">(b) The necessity of the amendment to this administrative regulation:</w:t>
      </w:r>
    </w:p>
    <w:p>
      <w:pPr>
        <w:pStyle w:val="kar_normal"/>
        <w:ind w:left="720"/>
      </w:pPr>
      <w:r>
        <w:t xml:space="preserve">These regulation amendments were necessary due to SB 94, and the changes to KRS 314.042.</w:t>
      </w:r>
    </w:p>
    <w:p>
      <w:pPr>
        <w:pStyle w:val="kar_normal"/>
        <w:ind w:left="576"/>
      </w:pPr>
      <w:r>
        <w:t xml:space="preserve">(c) How the amendment conforms to the content of the authorizing statutes:</w:t>
      </w:r>
    </w:p>
    <w:p>
      <w:pPr>
        <w:pStyle w:val="kar_normal"/>
        <w:ind w:left="720"/>
      </w:pPr>
      <w:r>
        <w:t xml:space="preserve">By clearly stating requirements.</w:t>
      </w:r>
    </w:p>
    <w:p>
      <w:pPr>
        <w:pStyle w:val="kar_normal"/>
        <w:ind w:left="576"/>
      </w:pPr>
      <w:r>
        <w:t xml:space="preserve">(d) How the amendment will assist in the effective administration of the statutes:</w:t>
      </w:r>
    </w:p>
    <w:p>
      <w:pPr>
        <w:pStyle w:val="kar_normal"/>
        <w:ind w:left="720"/>
      </w:pPr>
      <w:r>
        <w:t xml:space="preserve">By clearly stating standards, procedures,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who wish to be in a CAPA-CS will need to use the form incorporated by reference. If the wish to request an exemption, they must be in good standing, provide a DEA and a PDMP registration, and meet the 4-year prescribing requirement.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other than the exemption request fee in 201 KAR 20:240, which is mandated by KRS 314.042(14)(b)(4),</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administrative regulation and KRS 314.042, and will be authorized to prescribe controlled substances.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increased; however, a fee of $50 has been proposed in 201 KAR 20:240, which is mandated by KRS 314.042(14)(b)(4), and currently in promulgation.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 fee; however, see KRS 314.042(14)(b)(4), and 201 KAR 20:240.</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Kentucky Revised Statutes KRS 218A.205(3)(a), (b), 314.131(1), 314.042, and 314.193.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3d0a3fa724e66" /><Relationship Type="http://schemas.openxmlformats.org/officeDocument/2006/relationships/settings" Target="/word/settings.xml" Id="R30e86d705c754635" /></Relationships>
</file>