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5595e0e419449f"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 </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p>
    <w:p>
      <w:pPr>
        <w:pStyle w:val="kar_paragraph"/>
      </w:pPr>
      <w:r>
        <w:t xml:space="preserve">(j)</w:t>
      </w:r>
      <w:r>
        <w:t xml:space="preserve"> </w:t>
      </w:r>
      <w:r>
        <w:t xml:space="preserve">Level II PRTFs shall be subject to the nonsubstantive review process.</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efe4aa63524acc" /><Relationship Type="http://schemas.openxmlformats.org/officeDocument/2006/relationships/settings" Target="/word/settings.xml" Id="R0d9ed0d8a3da4062" /></Relationships>
</file>