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eb8f93de1b49d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w:t>
      </w:r>
      <w:r>
        <w:rPr>
          <w:u w:val="single"/>
        </w:rPr>
        <w:t xml:space="preserve">those applicants with the highest number of cumulative application years</w:t>
      </w:r>
      <w:r>
        <w:t>[</w:t>
      </w:r>
      <w:r>
        <w:rPr>
          <w:strike w:val="true"/>
        </w:rPr>
        <w:t xml:space="preserve">members of the longest-applying year-cohort of resident elk hunt drawing applicants</w:t>
      </w:r>
      <w:r>
        <w:t>]</w:t>
      </w:r>
      <w:r>
        <w:t xml:space="preserve">.</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w:t>
      </w:r>
      <w:r>
        <w:rPr>
          <w:u w:val="single"/>
        </w:rPr>
        <w:t xml:space="preserve">cumulative</w:t>
      </w:r>
      <w:r>
        <w:t>[</w:t>
      </w:r>
      <w:r>
        <w:rPr>
          <w:strike w:val="true"/>
        </w:rPr>
        <w:t xml:space="preserve">consecutive</w:t>
      </w:r>
      <w:r>
        <w:t>]</w:t>
      </w:r>
      <w:r>
        <w:t xml:space="preserve"> years</w:t>
      </w:r>
      <w:r>
        <w:rPr>
          <w:u w:val="single"/>
        </w:rPr>
        <w:t xml:space="preserve">,</w:t>
      </w:r>
      <w:r>
        <w:t xml:space="preserve">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r>
        <w:t>[</w:t>
      </w:r>
      <w:r>
        <w:rPr>
          <w:strike w:val="true"/>
        </w:rPr>
        <w:t xml:space="preserve"> be</w:t>
      </w:r>
      <w:r>
        <w:t>]</w:t>
      </w:r>
      <w:r>
        <w:t xml:space="preserve">:</w:t>
      </w:r>
    </w:p>
    <w:p>
      <w:pPr>
        <w:pStyle w:val="kar_paragraph"/>
      </w:pPr>
      <w:r>
        <w:t xml:space="preserve">(a)</w:t>
      </w:r>
      <w:r>
        <w:t xml:space="preserve"> </w:t>
      </w:r>
      <w:r>
        <w:rPr>
          <w:u w:val="single"/>
        </w:rPr>
        <w:t xml:space="preserve">Have their number of cumulative years of application reset to zero and be ineligible</w:t>
      </w:r>
      <w:r>
        <w:t>[</w:t>
      </w:r>
      <w:r>
        <w:rPr>
          <w:strike w:val="true"/>
        </w:rPr>
        <w:t xml:space="preserve">Ineligible</w:t>
      </w:r>
      <w:r>
        <w:t>]</w:t>
      </w:r>
      <w:r>
        <w:t xml:space="preserve"> for the Loyalty Redraw until he or she accumulates the required number of </w:t>
      </w:r>
      <w:r>
        <w:rPr>
          <w:u w:val="single"/>
        </w:rPr>
        <w:t xml:space="preserve">cumulative</w:t>
      </w:r>
      <w:r>
        <w:t>[</w:t>
      </w:r>
      <w:r>
        <w:rPr>
          <w:strike w:val="true"/>
        </w:rPr>
        <w:t xml:space="preserve">consecutive</w:t>
      </w:r>
      <w:r>
        <w:t>]</w:t>
      </w:r>
      <w:r>
        <w:t xml:space="preserve"> years of applications necessary to again qualify for the Loyalty Redraw; and</w:t>
      </w:r>
    </w:p>
    <w:p>
      <w:pPr>
        <w:pStyle w:val="kar_paragraph"/>
      </w:pPr>
      <w:r>
        <w:t xml:space="preserve">(b)</w:t>
      </w:r>
      <w:r>
        <w:t xml:space="preserve"> </w:t>
      </w:r>
      <w:r>
        <w:rPr>
          <w:u w:val="single"/>
        </w:rPr>
        <w:t xml:space="preserve">Be eligible</w:t>
      </w:r>
      <w:r>
        <w:t>[</w:t>
      </w:r>
      <w:r>
        <w:rPr>
          <w:strike w:val="true"/>
        </w:rPr>
        <w:t xml:space="preserve">Eligible</w:t>
      </w:r>
      <w:r>
        <w:t>]</w:t>
      </w:r>
      <w:r>
        <w:t xml:space="preserv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w:t>
      </w:r>
      <w:r>
        <w:rPr>
          <w:u w:val="single"/>
        </w:rPr>
        <w:t xml:space="preserve">from the voucher cooperator permit program alone, or in combination with points accumulated from the elk restoration permit program,</w:t>
      </w:r>
      <w:r>
        <w:t xml:space="preserve">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w:t>
      </w:r>
      <w:r>
        <w:rPr>
          <w:u w:val="single"/>
        </w:rPr>
        <w:t xml:space="preserve">from the elk restoration permit program alone, or in combination with points accumulated from the voucher cooperator permit program</w:t>
      </w:r>
      <w:r>
        <w:t xml:space="preserve">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via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(3) above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signature"/>
      </w:pPr>
      <w:r>
        <w:t xml:space="preserve">RICH STORM, Commissioner</w:t>
      </w:r>
    </w:p>
    <w:p>
      <w:pPr>
        <w:pStyle w:val="kar_normal"/>
      </w:pPr>
      <w:r>
        <w:t xml:space="preserve"/>
      </w:r>
    </w:p>
    <w:p>
      <w:pPr>
        <w:pStyle w:val="kar_approved_by"/>
      </w:pPr>
      <w:r>
        <w:t xml:space="preserve">APPROVED BY AGENCY: February 13, 2024</w:t>
      </w:r>
    </w:p>
    <w:p>
      <w:pPr>
        <w:pStyle w:val="kar_filed"/>
      </w:pPr>
      <w:r>
        <w:t xml:space="preserve">FILED WITH LRC: February 14, 2024 at 1:35 p.m.</w:t>
      </w:r>
    </w:p>
    <w:p>
      <w:pPr>
        <w:pStyle w:val="kar_normal"/>
      </w:pPr>
      <w:r>
        <w:t xml:space="preserve"/>
      </w:r>
    </w:p>
    <w:p>
      <w:pPr>
        <w:pStyle w:val="kar_comment_period"/>
      </w:pPr>
      <w:r>
        <w:t xml:space="preserve">PUBLIC HEARING AND PUBLIC COMMENT PERIOD: A public hearing on this administrative regulation shall be held on April 30,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elk permit drawing and quota hunts, the conditions under which special commission permits, landowner cooperator permits, elk restoration permits, and cooperator voucher permits can be used, and procedures for elk damage abatement.</w:t>
      </w:r>
    </w:p>
    <w:p>
      <w:pPr>
        <w:pStyle w:val="kar_normal"/>
        <w:ind w:left="576"/>
      </w:pPr>
      <w:r>
        <w:t xml:space="preserve">(b) The necessity of this administrative regulation:</w:t>
      </w:r>
    </w:p>
    <w:p>
      <w:pPr>
        <w:pStyle w:val="kar_normal"/>
        <w:ind w:left="720"/>
      </w:pPr>
      <w:r>
        <w:t xml:space="preserve">This administrative regulation is necessary to effectively manage elk populations in Kentucky, while providing optimal elk hunting and tourism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hunting seasons, bag limits, and the methods of taking wildlife. KRS 150.177 authorizes the department to issue special commission permits for game species to nonprofit wildlife conservation organizations. KRS 150.178 authorizes the department to issue cooperator permits to landowners who enroll property for public hunting access. KRS 150.390(3) authorizes the department to promulgate administrative regulations establishing the conditions under which depredation permits for elk may be issued.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all the requirements for elk hunting and the procedures for elk damage abatement.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for the pooling of Voucher Cooperator and Elk Restoration permit points used towards an elk permit. Additionally, this amendment will adjust the Loyalty Redraw system from consecutive years to cumulative years.</w:t>
      </w:r>
    </w:p>
    <w:p>
      <w:pPr>
        <w:pStyle w:val="kar_normal"/>
        <w:ind w:left="576"/>
      </w:pPr>
      <w:r>
        <w:t xml:space="preserve">(b) The necessity of the amendment to this administrative regulation:</w:t>
      </w:r>
    </w:p>
    <w:p>
      <w:pPr>
        <w:pStyle w:val="kar_normal"/>
        <w:ind w:left="720"/>
      </w:pPr>
      <w:r>
        <w:t xml:space="preserve">The combining of Voucher Cooperator and Elk Restoration Permit points will help incentivize private landowners to open their lands to elk hunting. The adjustments to the loyalty redraw system will provide a greater opportunity for an elk tag to those hunters who have been consistently applying over the duration of the Kentucky elk hunt.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elk hunters, as well as those members of the public applying for elk permits will have the potential to be positively impacted. Additionally, landowners in the elk zone will be positively impacted by the combination of the Voucher Cooperator and Elk Restoration Permit points.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associated with these amendments.</w:t>
      </w:r>
    </w:p>
    <w:p>
      <w:pPr>
        <w:pStyle w:val="kar_normal"/>
        <w:ind w:left="576"/>
      </w:pPr>
      <w:r>
        <w:t xml:space="preserve">(c) As a result of compliance, what benefits will accrue to the entities identified in question (3):</w:t>
      </w:r>
    </w:p>
    <w:p>
      <w:pPr>
        <w:pStyle w:val="kar_normal"/>
        <w:ind w:left="720"/>
      </w:pPr>
      <w:r>
        <w:t xml:space="preserve">Greater access to elk hunting land as well as a greater chance of drawing an elk permit will results from this amendment.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Tiering will not be applied as this will pertain to all hunters, landowners within the elk zone and those applying to hunt elk in Kentucky.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KRS 150.177, KRS 150.178, and KRS 150.390.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money will be saved from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money will be saved from this administrative regulation.</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will be derived from the regulatory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139a6f0ac7487d" /><Relationship Type="http://schemas.openxmlformats.org/officeDocument/2006/relationships/settings" Target="/word/settings.xml" Id="R7708470bf89944fe" /></Relationships>
</file>