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e44b2386584da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w:t>
      </w:r>
      <w:r>
        <w:rPr>
          <w:b/>
          <w:i/>
          <w:u w:val="single"/>
        </w:rPr>
        <w:t xml:space="preserve">314.039, </w:t>
      </w:r>
      <w:r>
        <w:t xml:space="preserve">314.042, 314.091, 314.193(2), 314.195</w:t>
      </w:r>
      <w:r>
        <w:rPr>
          <w:b/>
          <w:i/>
          <w:u w:val="single"/>
        </w:rPr>
        <w:t xml:space="preserve">, 314.475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w:t>
      </w:r>
      <w:r>
        <w:rPr>
          <w:b/>
          <w:i/>
          <w:u w:val="single"/>
        </w:rPr>
        <w:t xml:space="preserve">(APRN) </w:t>
      </w:r>
      <w:r>
        <w:t xml:space="preserve">and a physician in the provision of prescription medication, including both autonomous and cooperative decision-making, with the </w:t>
      </w:r>
      <w:r>
        <w:t>[</w:t>
      </w:r>
      <w:r>
        <w:rPr>
          <w:b/>
          <w:i/>
          <w:strike w:val="true"/>
        </w:rPr>
        <w:t xml:space="preserve">advanced practice registered nurse</w:t>
      </w:r>
      <w:r>
        <w:rPr>
          <w:b/>
          <w:i/>
          <w:strike w:val="true"/>
          <w:u w:val="single"/>
        </w:rPr>
        <w:t xml:space="preserve"> (</w:t>
      </w:r>
      <w:r>
        <w:t>]</w:t>
      </w:r>
      <w:r>
        <w:rPr>
          <w:u w:val="single"/>
        </w:rPr>
        <w:t xml:space="preserve">APRN</w:t>
      </w:r>
      <w:r>
        <w:t>[</w:t>
      </w:r>
      <w:r>
        <w:rPr>
          <w:b/>
          <w:i/>
          <w:strike w:val="true"/>
          <w:u w:val="single"/>
        </w:rPr>
        <w:t xml:space="preserve">)</w:t>
      </w:r>
      <w:r>
        <w:t>]</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w:t>
      </w:r>
      <w:r>
        <w:rPr>
          <w:b/>
          <w:i/>
          <w:u w:val="single"/>
        </w:rPr>
        <w:t xml:space="preserve"> member</w:t>
      </w:r>
      <w:r>
        <w:t xml:space="preserve">"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w:t>
      </w:r>
      <w:r>
        <w:rPr>
          <w:b/>
          <w:i/>
          <w:u w:val="single"/>
        </w:rPr>
        <w:t xml:space="preserve">shall</w:t>
      </w:r>
      <w:r>
        <w:t>[</w:t>
      </w:r>
      <w:r>
        <w:rPr>
          <w:b/>
          <w:i/>
          <w:strike w:val="true"/>
          <w:u w:val="single"/>
        </w:rPr>
        <w:t xml:space="preserve">must</w:t>
      </w:r>
      <w:r>
        <w:t>]</w:t>
      </w:r>
      <w:r>
        <w:rPr>
          <w:u w:val="single"/>
        </w:rPr>
        <w:t xml:space="preserve">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w:t>
      </w:r>
      <w:r>
        <w:t>[</w:t>
      </w:r>
      <w:r>
        <w:rPr>
          <w:b/>
          <w:i/>
          <w:strike w:val="true"/>
          <w:u w:val="single"/>
        </w:rPr>
        <w:t xml:space="preserve">, </w:t>
      </w:r>
      <w:r>
        <w:t>]</w:t>
      </w:r>
      <w:r>
        <w:t>[</w:t>
      </w:r>
      <w:r>
        <w:rPr>
          <w:b/>
          <w:strike w:val="true"/>
          <w:u w:val="single"/>
        </w:rPr>
        <w:t xml:space="preserve">either</w:t>
      </w:r>
      <w:r>
        <w:t>]</w:t>
      </w:r>
      <w:r>
        <w:rPr>
          <w:u w:val="single"/>
        </w:rPr>
        <w:t xml:space="preserve"> in person or via video conferencing, </w:t>
      </w:r>
      <w:r>
        <w:rPr>
          <w:b/>
          <w:u w:val="single"/>
        </w:rPr>
        <w:t xml:space="preserve">or by phone, if in person or video conferencing is not feasible, </w:t>
      </w:r>
      <w:r>
        <w:rPr>
          <w:u w:val="single"/>
        </w:rPr>
        <w:t xml:space="preserve">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w:t>
      </w:r>
      <w:r>
        <w:rPr>
          <w:b/>
          <w:i/>
          <w:u w:val="single"/>
        </w:rPr>
        <w:t xml:space="preserve">the </w:t>
      </w:r>
      <w:r>
        <w:rPr>
          <w:u w:val="single"/>
        </w:rPr>
        <w:t xml:space="preserve">discussions; and</w:t>
      </w:r>
    </w:p>
    <w:p>
      <w:pPr>
        <w:pStyle w:val="kar_subparagraph"/>
      </w:pPr>
      <w:r>
        <w:rPr>
          <w:u w:val="single"/>
        </w:rPr>
        <w:t xml:space="preserve">3.</w:t>
      </w:r>
      <w:r>
        <w:t xml:space="preserve"> </w:t>
      </w:r>
      <w:r>
        <w:rPr>
          <w:u w:val="single"/>
        </w:rPr>
        <w:t xml:space="preserve">Any recommendations made </w:t>
      </w:r>
      <w:r>
        <w:rPr>
          <w:b/>
          <w:i/>
          <w:u w:val="single"/>
        </w:rPr>
        <w:t xml:space="preserve">that </w:t>
      </w:r>
      <w:r>
        <w:rPr>
          <w:u w:val="single"/>
        </w:rPr>
        <w:t xml:space="preserve">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w:t>
      </w:r>
      <w:r>
        <w:rPr>
          <w:b/>
          <w:i/>
          <w:u w:val="single"/>
        </w:rPr>
        <w:t xml:space="preserve">.</w:t>
      </w:r>
      <w:r>
        <w:t>[</w:t>
      </w:r>
      <w:r>
        <w:rPr>
          <w:b/>
          <w:i/>
          <w:strike w:val="true"/>
          <w:u w:val="single"/>
        </w:rPr>
        <w:t xml:space="preserve">; and</w:t>
      </w:r>
      <w:r>
        <w:t>]</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theCommon</w:t>
      </w:r>
      <w:r>
        <w:t>]</w:t>
      </w:r>
      <w:r>
        <w:t xml:space="preserve"> CAPA-NS </w:t>
      </w:r>
      <w:r>
        <w:rPr>
          <w:u w:val="single"/>
        </w:rPr>
        <w:t xml:space="preserve">Agreement</w:t>
      </w:r>
      <w:r>
        <w:rPr>
          <w:b/>
          <w:i/>
          <w:u w:val="single"/>
        </w:rPr>
        <w:t xml:space="preserve"> Form</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w:t>
      </w:r>
      <w:r>
        <w:rPr>
          <w:b/>
          <w:i/>
          <w:u w:val="single"/>
        </w:rPr>
        <w:t xml:space="preserve">Agreement </w:t>
      </w:r>
      <w:r>
        <w:rPr>
          <w:u w:val="single"/>
        </w:rPr>
        <w:t xml:space="preserve">Form</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rPr>
          <w:b/>
          <w:i/>
          <w:u w:val="single"/>
        </w:rPr>
        <w:t xml:space="preserve"> as established in paragraph (e) of this subsection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rPr>
          <w:b/>
          <w:i/>
          <w:u w:val="single"/>
        </w:rPr>
        <w:t xml:space="preserve"> as established in paragraph (e) of this subsection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rPr>
          <w:b/>
          <w:i/>
          <w:u w:val="single"/>
        </w:rPr>
        <w:t xml:space="preserve"> as established in paragraph (e) of this subsection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w:t>
      </w:r>
      <w:r>
        <w:t>[</w:t>
      </w:r>
      <w:r>
        <w:rPr>
          <w:b/>
          <w:i/>
          <w:strike w:val="true"/>
          <w:u w:val="single"/>
        </w:rPr>
        <w:t xml:space="preserve">administrative regulation </w:t>
      </w:r>
      <w:r>
        <w:t>]</w:t>
      </w:r>
      <w:r>
        <w:rPr>
          <w:u w:val="single"/>
        </w:rPr>
        <w:t xml:space="preserve">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b/>
          <w:i/>
          <w:u w:val="single"/>
        </w:rPr>
        <w:t xml:space="preserve">Each notification, recission</w:t>
      </w:r>
      <w:r>
        <w:t>[</w:t>
      </w:r>
      <w:r>
        <w:rPr>
          <w:b/>
          <w:i/>
          <w:strike w:val="true"/>
          <w:u w:val="single"/>
        </w:rPr>
        <w:t xml:space="preserve">All notifications, rescissions</w:t>
      </w:r>
      <w:r>
        <w:t>]</w:t>
      </w:r>
      <w:r>
        <w:rPr>
          <w:u w:val="single"/>
        </w:rPr>
        <w:t xml:space="preserve">, and exemption </w:t>
      </w:r>
      <w:r>
        <w:rPr>
          <w:b/>
          <w:i/>
          <w:u w:val="single"/>
        </w:rPr>
        <w:t xml:space="preserve">request</w:t>
      </w:r>
      <w:r>
        <w:t>[</w:t>
      </w:r>
      <w:r>
        <w:rPr>
          <w:b/>
          <w:i/>
          <w:strike w:val="true"/>
          <w:u w:val="single"/>
        </w:rPr>
        <w:t xml:space="preserve">requests</w:t>
      </w:r>
      <w:r>
        <w:t>]</w:t>
      </w:r>
      <w:r>
        <w:rPr>
          <w:u w:val="single"/>
        </w:rPr>
        <w:t xml:space="preserve"> shall be submitted by the APRN to the board via the online KBN Nurse Portal at www.kbn.ky.gov, and shall include the information and documentation required by </w:t>
      </w:r>
      <w:r>
        <w:rPr>
          <w:b/>
          <w:i/>
          <w:u w:val="single"/>
        </w:rPr>
        <w:t xml:space="preserve">subsection</w:t>
      </w:r>
      <w:r>
        <w:t>[</w:t>
      </w:r>
      <w:r>
        <w:rPr>
          <w:b/>
          <w:i/>
          <w:strike w:val="true"/>
          <w:u w:val="single"/>
        </w:rPr>
        <w:t xml:space="preserve">subsections</w:t>
      </w:r>
      <w:r>
        <w:t>]</w:t>
      </w:r>
      <w:r>
        <w:rPr>
          <w:u w:val="single"/>
        </w:rPr>
        <w:t xml:space="preserve"> (1) </w:t>
      </w:r>
      <w:r>
        <w:t>[</w:t>
      </w:r>
      <w:r>
        <w:rPr>
          <w:b/>
          <w:i/>
          <w:strike w:val="true"/>
          <w:u w:val="single"/>
        </w:rPr>
        <w:t xml:space="preserve">and (2) </w:t>
      </w:r>
      <w:r>
        <w:t>]</w:t>
      </w:r>
      <w:r>
        <w:rPr>
          <w:u w:val="single"/>
        </w:rPr>
        <w:t xml:space="preserve">of this section </w:t>
      </w:r>
      <w:r>
        <w:rPr>
          <w:b/>
          <w:i/>
          <w:u w:val="single"/>
        </w:rPr>
        <w:t xml:space="preserve">and this subsection</w:t>
      </w:r>
      <w:r>
        <w:rPr>
          <w:u w:val="single"/>
        </w:rPr>
        <w:t xml:space="preserve">.</w:t>
      </w:r>
    </w:p>
    <w:p>
      <w:pPr>
        <w:pStyle w:val="kar_paragraph"/>
      </w:pPr>
      <w:r>
        <w:rPr>
          <w:u w:val="single"/>
        </w:rPr>
        <w:t xml:space="preserve">(f)</w:t>
      </w:r>
      <w:r>
        <w:t xml:space="preserve"> </w:t>
      </w:r>
      <w:r>
        <w:rPr>
          <w:u w:val="single"/>
        </w:rPr>
        <w:t xml:space="preserve">Upon request by the board, the APRN shall furnish to the board a copy of the executed CAPA-NS Agreement </w:t>
      </w:r>
      <w:r>
        <w:rPr>
          <w:b/>
          <w:i/>
          <w:u w:val="single"/>
        </w:rPr>
        <w:t xml:space="preserve">Form </w:t>
      </w:r>
      <w:r>
        <w:rPr>
          <w:u w:val="single"/>
        </w:rPr>
        <w:t xml:space="preserve">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w:t>
      </w:r>
      <w:r>
        <w:rPr>
          <w:b/>
          <w:u w:val="single"/>
        </w:rPr>
        <w:t xml:space="preserve">or CAPA-CS </w:t>
      </w:r>
      <w:r>
        <w:t xml:space="preserve">ends unexpectedly for reasons outside the APRN's control such as being ended by the physician without notice, the physician's license becoming no longer valid in Kentucky, or the death of a physician, the APRN may continue to prescribe</w:t>
      </w:r>
      <w:r>
        <w:t>[</w:t>
      </w:r>
      <w:r>
        <w:rPr>
          <w:b/>
          <w:strike w:val="true"/>
        </w:rPr>
        <w:t xml:space="preserve"> non-scheduled legend drugs</w:t>
      </w:r>
      <w:r>
        <w:t>]</w:t>
      </w:r>
      <w:r>
        <w:t xml:space="preserv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r>
        <w:t>[</w:t>
      </w:r>
      <w:r>
        <w:rPr>
          <w:b/>
          <w:strike w:val="true"/>
          <w:u w:val="single"/>
        </w:rPr>
        <w:t xml:space="preserve">If an APRN's CAPA-CS ends unexpectedly, </w:t>
      </w:r>
      <w:r>
        <w:rPr>
          <w:b/>
          <w:strike w:val="true"/>
        </w:rPr>
        <w:t xml:space="preserve">the APRN </w:t>
      </w:r>
      <w:r>
        <w:t>]</w:t>
      </w:r>
      <w:r>
        <w:t>[</w:t>
      </w:r>
      <w:r>
        <w:rPr>
          <w:strike w:val="true"/>
        </w:rPr>
        <w:t xml:space="preserve">with a CAPA-CS </w:t>
      </w:r>
      <w:r>
        <w:t>]</w:t>
      </w:r>
      <w:r>
        <w:t>[</w:t>
      </w:r>
      <w:r>
        <w:rPr>
          <w:b/>
          <w:strike w:val="true"/>
        </w:rPr>
        <w:t xml:space="preserve">shall cease prescribing controlled substances </w:t>
      </w:r>
      <w:r>
        <w:t>]</w:t>
      </w:r>
      <w:r>
        <w:t>[</w:t>
      </w:r>
      <w:r>
        <w:rPr>
          <w:strike w:val="true"/>
        </w:rPr>
        <w:t xml:space="preserve">if the collaborative agreement unexpectedly ends, </w:t>
      </w:r>
      <w:r>
        <w:t>]</w:t>
      </w:r>
      <w:r>
        <w:t>[</w:t>
      </w:r>
      <w:r>
        <w:rPr>
          <w:b/>
          <w:strike w:val="true"/>
        </w:rPr>
        <w:t xml:space="preserve">until the CAPA-CS is resumed</w:t>
      </w:r>
      <w:r>
        <w:rPr>
          <w:b/>
          <w:strike w:val="true"/>
          <w:u w:val="single"/>
        </w:rPr>
        <w:t xml:space="preserve">,</w:t>
      </w:r>
      <w:r>
        <w:t>]</w:t>
      </w:r>
      <w:r>
        <w:t>[</w:t>
      </w:r>
      <w:r>
        <w:rPr>
          <w:strike w:val="true"/>
        </w:rPr>
        <w:t xml:space="preserve">or </w:t>
      </w:r>
      <w:r>
        <w:t>]</w:t>
      </w:r>
      <w:r>
        <w:t>[</w:t>
      </w:r>
      <w:r>
        <w:rPr>
          <w:b/>
          <w:strike w:val="true"/>
        </w:rPr>
        <w:t xml:space="preserve">the APRN enters into a new CAPA-CS</w:t>
      </w:r>
      <w:r>
        <w:rPr>
          <w:b/>
          <w:strike w:val="true"/>
          <w:u w:val="single"/>
        </w:rPr>
        <w:t xml:space="preserve">, or the APRN is granted an exemption by the Board under Section 7 of this administrative regulation</w:t>
      </w:r>
      <w:r>
        <w:rPr>
          <w:b/>
          <w:strike w:val="true"/>
        </w:rPr>
        <w:t xml:space="preserve">.</w:t>
      </w:r>
      <w:r>
        <w:t>]</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w:t>
      </w:r>
      <w:r>
        <w:rPr>
          <w:b/>
          <w:i/>
          <w:u w:val="single"/>
        </w:rPr>
        <w:t xml:space="preserve">on </w:t>
      </w:r>
      <w:r>
        <w:rPr>
          <w:u w:val="single"/>
        </w:rPr>
        <w:t xml:space="preserve">the board's </w:t>
      </w:r>
      <w:r>
        <w:rPr>
          <w:b/>
          <w:i/>
          <w:u w:val="single"/>
        </w:rPr>
        <w:t xml:space="preserve">Web site</w:t>
      </w:r>
      <w:r>
        <w:t>[</w:t>
      </w:r>
      <w:r>
        <w:rPr>
          <w:b/>
          <w:i/>
          <w:strike w:val="true"/>
          <w:u w:val="single"/>
        </w:rPr>
        <w:t xml:space="preserve">website</w:t>
      </w:r>
      <w:r>
        <w:t>]</w:t>
      </w:r>
      <w:r>
        <w:rPr>
          <w:u w:val="single"/>
        </w:rPr>
        <w:t xml:space="preserv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w:t>
      </w:r>
      <w:r>
        <w:rPr>
          <w:b/>
          <w:i/>
          <w:u w:val="single"/>
        </w:rPr>
        <w:t xml:space="preserve">the</w:t>
      </w:r>
      <w:r>
        <w:t>[</w:t>
      </w:r>
      <w:r>
        <w:rPr>
          <w:b/>
          <w:i/>
          <w:strike w:val="true"/>
          <w:u w:val="single"/>
        </w:rPr>
        <w:t xml:space="preserve">such a</w:t>
      </w:r>
      <w:r>
        <w:t>]</w:t>
      </w:r>
      <w:r>
        <w:rPr>
          <w:u w:val="single"/>
        </w:rPr>
        <w:t xml:space="preserve">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w:t>
      </w:r>
      <w:r>
        <w:rPr>
          <w:b/>
          <w:i/>
          <w:u w:val="single"/>
        </w:rPr>
        <w:t xml:space="preserve">Chapter </w:t>
      </w:r>
      <w:r>
        <w:rPr>
          <w:u w:val="single"/>
        </w:rPr>
        <w:t xml:space="preserve">13B within twenty (20) days of receiving written notification of the denial. If a hearing is requested and the order of the board is adverse to the advance practice registered nurse, the board may impose costs pursuant to </w:t>
      </w:r>
      <w:r>
        <w:t>[</w:t>
      </w:r>
      <w:r>
        <w:rPr>
          <w:b/>
          <w:i/>
          <w:strike w:val="true"/>
          <w:u w:val="single"/>
        </w:rPr>
        <w:t xml:space="preserve">administrative regulation </w:t>
      </w:r>
      <w:r>
        <w:t>]</w:t>
      </w:r>
      <w:r>
        <w:rPr>
          <w:u w:val="single"/>
        </w:rPr>
        <w:t xml:space="preserve">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 xml:space="preserve">:</w:t>
      </w:r>
      <w:r>
        <w:t>[</w:t>
      </w:r>
      <w:r>
        <w:rPr>
          <w:b/>
          <w:i/>
          <w:strike w:val="true"/>
          <w:u w:val="single"/>
        </w:rPr>
        <w:t xml:space="preserve">;</w:t>
      </w:r>
      <w:r>
        <w:t>]</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w:t>
      </w:r>
      <w:r>
        <w:t>[</w:t>
      </w:r>
      <w:r>
        <w:rPr>
          <w:b/>
          <w:i/>
          <w:strike w:val="true"/>
        </w:rPr>
        <w:t xml:space="preserve">the </w:t>
      </w:r>
      <w:r>
        <w:t>]</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t>[</w:t>
      </w:r>
      <w:r>
        <w:t>]</w:t>
      </w:r>
      <w:r>
        <w:rPr>
          <w:u w:val="single"/>
        </w:rPr>
        <w:t xml:space="preserve">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w:t>
      </w:r>
      <w:r>
        <w:rPr>
          <w:b/>
          <w:i/>
          <w:u w:val="single"/>
        </w:rPr>
        <w:t xml:space="preserve">Member </w:t>
      </w:r>
      <w:r>
        <w:t xml:space="preserve">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w:t>
      </w:r>
      <w:r>
        <w:rPr>
          <w:b/>
          <w:i/>
          <w:u w:val="single"/>
        </w:rPr>
        <w:t xml:space="preserve">member </w:t>
      </w:r>
      <w:r>
        <w:t xml:space="preserve">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w:t>
      </w:r>
      <w:r>
        <w:rPr>
          <w:b/>
          <w:i/>
          <w:u w:val="single"/>
        </w:rPr>
        <w:t xml:space="preserve">AACN</w:t>
      </w:r>
      <w:r>
        <w:t>[</w:t>
      </w:r>
      <w:r>
        <w:rPr>
          <w:b/>
          <w:i/>
          <w:strike w:val="true"/>
        </w:rPr>
        <w:t xml:space="preserve">ACCN</w:t>
      </w:r>
      <w:r>
        <w:t>]</w:t>
      </w:r>
      <w:r>
        <w:t xml:space="preserve">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b/>
          <w:i/>
          <w:u w:val="single"/>
        </w:rPr>
        <w:t xml:space="preserve">https://kbn.ky.gov/document-library/Pages/default.aspx</w:t>
      </w:r>
      <w:r>
        <w:t>[</w:t>
      </w:r>
      <w:r>
        <w:rPr>
          <w:b/>
          <w:i/>
          <w:strike w:val="true"/>
          <w:u w:val="single"/>
        </w:rPr>
        <w:t xml:space="preserve">https://kbn.ky.gov/General/Pages/Document-Library.aspx</w:t>
      </w:r>
      <w:r>
        <w:t>]</w:t>
      </w:r>
      <w:r>
        <w:t>[</w:t>
      </w:r>
      <w:r>
        <w:rPr>
          <w:strike w:val="true"/>
        </w:rPr>
        <w:t xml:space="preserve">https://kbn.ky.gov/legalopinions/Pages/laws.aspx</w:t>
      </w:r>
      <w:r>
        <w:t>]</w:t>
      </w:r>
      <w:r>
        <w:t xml:space="preserve">.</w:t>
      </w:r>
    </w:p>
    <w:p>
      <w:pPr>
        <w:pStyle w:val="kar_normal"/>
      </w:pPr>
      <w:r>
        <w:t xml:space="preserve"/>
      </w:r>
    </w:p>
    <w:p>
      <w:pPr>
        <w:pStyle w:val="kar_filed"/>
      </w:pPr>
      <w:r>
        <w:t xml:space="preserve">FILED WITH LRC: February 12,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58a1d3b824195" /><Relationship Type="http://schemas.openxmlformats.org/officeDocument/2006/relationships/settings" Target="/word/settings.xml" Id="R6a4de6a5f66f431b" /></Relationships>
</file>