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afa0502594507" /></Relationships>
</file>

<file path=word/document.xml><?xml version="1.0" encoding="utf-8"?>
<w:document xmlns:w="http://schemas.openxmlformats.org/wordprocessingml/2006/main">
  <w:body>
    <w:p>
      <w:pPr>
        <w:pStyle w:val="kar_citation"/>
      </w:pPr>
      <w:r>
        <w:t>922 KAR 1:140.</w:t>
      </w:r>
      <w:r>
        <w:t xml:space="preserve"> </w:t>
      </w:r>
      <w:r>
        <w:t xml:space="preserve">Permanency services.</w:t>
      </w:r>
    </w:p>
    <w:p>
      <w:pPr>
        <w:pStyle w:val="kar_markup_metadata"/>
      </w:pPr>
      <w:r>
        <w:t xml:space="preserve">RELATES TO: </w:t>
      </w:r>
      <w:r>
        <w:t xml:space="preserve">KRS 2.015, 194A.005(1), 199.011(3), (4), (9), 199.462, 199.555, 199.557, 199.801, 387.025, 527.100, 527.110, 600.020, 610.110, 610.125, 610.127, 620.020(1), (11), 620.060, 620.090, 620.140, 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secretary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"Age or developmentally appropriate" is defined by KRS 600.020(2).</w:t>
      </w:r>
    </w:p>
    <w:p>
      <w:pPr>
        <w:pStyle w:val="kar_subsection"/>
      </w:pPr>
      <w:r>
        <w:t xml:space="preserve">(3)</w:t>
      </w:r>
      <w:r>
        <w:t xml:space="preserve"> </w:t>
      </w:r>
      <w:r>
        <w:t xml:space="preserve">"Cabinet" is defined by KRS 194A.005(1), 199.011(3), and 600.020(7).</w:t>
      </w:r>
    </w:p>
    <w:p>
      <w:pPr>
        <w:pStyle w:val="kar_subsection"/>
      </w:pPr>
      <w:r>
        <w:t xml:space="preserve">(4)</w:t>
      </w:r>
      <w:r>
        <w:t xml:space="preserve"> </w:t>
      </w:r>
      <w:r>
        <w:t xml:space="preserve">"Case permanency plan" is defined by KRS 620.020(1).</w:t>
      </w:r>
    </w:p>
    <w:p>
      <w:pPr>
        <w:pStyle w:val="kar_subsection"/>
      </w:pPr>
      <w:r>
        <w:t xml:space="preserve">(5)</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twenty-two (22) months, in accordance with 42 U.S.C. 675(5)(E).</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"Parent" is defined by 42 U.S.C. 675(2).</w:t>
      </w:r>
    </w:p>
    <w:p>
      <w:pPr>
        <w:pStyle w:val="kar_subsection"/>
      </w:pPr>
      <w:r>
        <w:t xml:space="preserve">(9)</w:t>
      </w:r>
      <w:r>
        <w:t xml:space="preserve"> </w:t>
      </w:r>
      <w:r>
        <w:t xml:space="preserve">"Reasonable efforts" is defined by KRS 620.020(11).</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t xml:space="preserve">"Subsidized permanent custody" means the guardianship assistance program authorized by 42 U.S.C. 673 and funded with Title IV-E and state general funds, established in 922 KAR 1:145.</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w:t>
      </w:r>
    </w:p>
    <w:p>
      <w:pPr>
        <w:pStyle w:val="kar_paragraph"/>
      </w:pPr>
      <w:r>
        <w:t xml:space="preserve">(e)</w:t>
      </w:r>
      <w:r>
        <w:t xml:space="preserve"> </w:t>
      </w:r>
      <w:r>
        <w:t xml:space="preserve">Subsidized permanent custody;</w:t>
      </w:r>
    </w:p>
    <w:p>
      <w:pPr>
        <w:pStyle w:val="kar_paragraph"/>
      </w:pPr>
      <w:r>
        <w:t xml:space="preserve">(f)</w:t>
      </w:r>
      <w:r>
        <w:t xml:space="preserve"> </w:t>
      </w:r>
      <w:r>
        <w:t xml:space="preserve">Transitioning to adulthood; or</w:t>
      </w:r>
    </w:p>
    <w:p>
      <w:pPr>
        <w:pStyle w:val="kar_paragraph"/>
      </w:pPr>
      <w:r>
        <w:t xml:space="preserve">(g)</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successfully mitigated the danger to the child associated with the removal or has a plan supported by the cabinet to provide safety for the child while making progress towards completing the case plan;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successfully mitigated the danger to the child associated with the removal or does not have a plan supported by the cabinet to provide safety for the child while making progress toward completing the case plan,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 legal guardianship, or subsidized permanent custody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 adoption, or subsidized permanent custody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t xml:space="preserve">Subsidized permanent custody. The permanency goal for a child who has been removed from the child's home of origin by a court shall be subsidized permanent custody if the cabinet determines that:</w:t>
      </w:r>
    </w:p>
    <w:p>
      <w:pPr>
        <w:pStyle w:val="kar_subsection"/>
      </w:pPr>
      <w:r>
        <w:t xml:space="preserve">(1)</w:t>
      </w:r>
      <w:r>
        <w:t xml:space="preserve"> </w:t>
      </w:r>
      <w:r>
        <w:t xml:space="preserve">Reunification, adoption, legal guardianship, and permanent relative custody is not in the child's best interest; and</w:t>
      </w:r>
    </w:p>
    <w:p>
      <w:pPr>
        <w:pStyle w:val="kar_subsection"/>
      </w:pPr>
      <w:r>
        <w:t xml:space="preserve">(2)</w:t>
      </w:r>
      <w:r>
        <w:t xml:space="preserve"> </w:t>
      </w:r>
      <w:r>
        <w:t xml:space="preserve">The child is eligible pursuant to Section 2 of 922 KAR 1:145.</w:t>
      </w:r>
    </w:p>
    <w:p>
      <w:pPr>
        <w:pStyle w:val="kar_section"/>
      </w:pPr>
      <w:r>
        <w:t xml:space="preserve">Section 10.</w:t>
      </w:r>
      <w:r>
        <w:t xml:space="preserve"> </w:t>
      </w:r>
      <w:r>
        <w:t xml:space="preserve">Transitioning to Adulthood. The permanency goal for a child who is  eighteen (18) years of age or older and has extended commitment to the cabinet or seventeen (17) years of age shall be transitioning to adulthood if:</w:t>
      </w:r>
    </w:p>
    <w:p>
      <w:pPr>
        <w:pStyle w:val="kar_subsection"/>
      </w:pPr>
      <w:r>
        <w:t xml:space="preserve">(1)</w:t>
      </w:r>
      <w:r>
        <w:t xml:space="preserve"> </w:t>
      </w:r>
      <w:r>
        <w:t xml:space="preserve">Other permanency goal options have been exhausted and are no longer appropriate due to the specific circumstances of the child;</w:t>
      </w:r>
    </w:p>
    <w:p>
      <w:pPr>
        <w:pStyle w:val="kar_subsection"/>
      </w:pPr>
      <w:r>
        <w:t xml:space="preserve">(2)</w:t>
      </w:r>
      <w:r>
        <w:t xml:space="preserve"> </w:t>
      </w:r>
      <w:r>
        <w:t xml:space="preserve">The cabinet has reviewed documentation and determined that a goal of transitioning to adulthood is in the best interest of the child;</w:t>
      </w:r>
    </w:p>
    <w:p>
      <w:pPr>
        <w:pStyle w:val="kar_subsection"/>
      </w:pPr>
      <w:r>
        <w:t xml:space="preserve">(3)</w:t>
      </w:r>
      <w:r>
        <w:t xml:space="preserve"> </w:t>
      </w:r>
      <w:r>
        <w:t xml:space="preserve">The court has determined that transitioning to adulthood is in the best interest of the child; and</w:t>
      </w:r>
    </w:p>
    <w:p>
      <w:pPr>
        <w:pStyle w:val="kar_subsection"/>
      </w:pPr>
      <w:r>
        <w:t xml:space="preserve">(4)</w:t>
      </w:r>
      <w:r>
        <w:t xml:space="preserve"> </w:t>
      </w:r>
      <w:r>
        <w:t xml:space="preserve">For children aged seventeen (17), approval is obtained from the commissioner or designee prior to the court determination required by subsection (3) of this section and the establishment of transitioning to adulthood as a permanency goal.</w:t>
      </w:r>
    </w:p>
    <w:p>
      <w:pPr>
        <w:pStyle w:val="kar_section"/>
      </w:pPr>
      <w:r>
        <w:t xml:space="preserve">Section 11.</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t xml:space="preserve">Section 12.</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established in 922 KAR 1:530; </w:t>
      </w:r>
    </w:p>
    <w:p>
      <w:pPr>
        <w:pStyle w:val="kar_paragraph"/>
      </w:pPr>
      <w:r>
        <w:t xml:space="preserve">(f)</w:t>
      </w:r>
      <w:r>
        <w:t xml:space="preserve"> </w:t>
      </w:r>
      <w:r>
        <w:t xml:space="preserve">Subsidized permanent custody payments as established in 922 KAR 1:145; or</w:t>
      </w:r>
    </w:p>
    <w:p>
      <w:pPr>
        <w:pStyle w:val="kar_paragraph"/>
      </w:pPr>
      <w:r>
        <w:t xml:space="preserve">(g)</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t xml:space="preserve">Section 13.</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d6c2e658664c48" /><Relationship Type="http://schemas.openxmlformats.org/officeDocument/2006/relationships/settings" Target="/word/settings.xml" Id="Rca3adc2cb0564b97" /></Relationships>
</file>