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2ef51e7ca7488a" /></Relationships>
</file>

<file path=word/document.xml><?xml version="1.0" encoding="utf-8"?>
<w:document xmlns:w="http://schemas.openxmlformats.org/wordprocessingml/2006/main">
  <w:body>
    <w:p>
      <w:pPr>
        <w:pStyle w:val="kar_citation"/>
      </w:pPr>
      <w:r>
        <w:t>31 KAR 2:010.</w:t>
      </w:r>
      <w:r>
        <w:t xml:space="preserve"> </w:t>
      </w:r>
      <w:r>
        <w:t xml:space="preserve">Preparation of ballots and voting systems prior to election day.</w:t>
      </w:r>
    </w:p>
    <w:p>
      <w:pPr>
        <w:pStyle w:val="kar_markup_metadata"/>
      </w:pPr>
      <w:r>
        <w:t xml:space="preserve">RELATES TO: </w:t>
      </w:r>
      <w:r>
        <w:t xml:space="preserve">KRS 116.025, 116.065, 117.075, 117.085(5), 117.125, 117.145, 117.155, 117.165, 117.175, 117.195, 117.205,117.255, 117.275, 117.285, 117.375, 117.377, 117.379, 117.381, 117.383, 117.385, 117.387, 117.389, 117.391, 117.393, 118.015, 118.215(1), 118.770, 118A.010, 119.005, 424.290</w:t>
      </w:r>
    </w:p>
    <w:p>
      <w:pPr>
        <w:pStyle w:val="kar_markup_metadata"/>
      </w:pPr>
      <w:r>
        <w:t xml:space="preserve">STATUTORY AUTHORITY: </w:t>
      </w:r>
      <w:r>
        <w:t xml:space="preserve">KRS 117.015(1)(a), 117.383</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KRS 117.383 requires the State Board of Elections to promulgate rules and administrative regulations to achieve and maintain the maximum degree of correctness, impartiality, and efficiency of the procedures of voting. KRS 117.383(1) requires the State Board of Elections to promulgate rules and administrative regulations to count, tabulate, and record votes. KRS 117.383(2) requires the State Board of Elections to promulgate rules and administrative regulations to establish a method for placing items on any ballot, which shall, as closely as possible, follow the requirements pertaining to ballots. KRS 117.383(5) requires the State Board of Elections to promulgate rules and administrative regulations to provide for checking the accuracy of the equipment.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equipment required by KRS 117.383(6),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t xml:space="preserve">"Program administrator" means the county clerk or authorized assistant designated to configure the voting machines and voting systems.</w:t>
      </w:r>
    </w:p>
    <w:p>
      <w:pPr>
        <w:pStyle w:val="kar_subsection"/>
      </w:pPr>
      <w:r>
        <w:t xml:space="preserve">(7)</w:t>
      </w:r>
      <w:r>
        <w:t xml:space="preserve"> </w:t>
      </w:r>
      <w:r>
        <w:t xml:space="preserve">"Scan voting system" means a tabulating device that reads paper ballots by electronically detecting voters' marks.</w:t>
      </w:r>
    </w:p>
    <w:p>
      <w:pPr>
        <w:pStyle w:val="kar_subsection"/>
      </w:pPr>
      <w:r>
        <w:t xml:space="preserve">(8)</w:t>
      </w:r>
      <w:r>
        <w:t xml:space="preserve"> </w:t>
      </w:r>
      <w:r>
        <w:t xml:space="preserve">"Voting machine" 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 and 117.381.</w:t>
      </w:r>
    </w:p>
    <w:p>
      <w:pPr>
        <w:pStyle w:val="kar_subsection"/>
      </w:pPr>
      <w:r>
        <w:t xml:space="preserve">(9)</w:t>
      </w:r>
      <w:r>
        <w:t xml:space="preserve"> </w:t>
      </w:r>
      <w:r>
        <w:t xml:space="preserve">"Voting system" 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 and 117.381.</w:t>
      </w:r>
    </w:p>
    <w:p>
      <w:pPr>
        <w:pStyle w:val="kar_subsection"/>
      </w:pPr>
      <w:r>
        <w:t xml:space="preserve">(10)</w:t>
      </w:r>
      <w:r>
        <w:t xml:space="preserve"> </w:t>
      </w:r>
      <w:r>
        <w:t xml:space="preserve">"Zero-file" means a computer-based electronic file type listing all electoral contests and questions, displaying precinct-by-precinct vote totals registering as zero, which includes all candidates, offices, and ballot questions in the order under which they have been certified pursuant to KRS 118.215(1) or KRS 118.770, for all mail-in absentee ballots, excused in-person absentee ballots, no-excuse in-person absentee ballots, and election day ballots.</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t xml:space="preserve">Once the county clerk has ascertained that all federal, state, county, and local candidates, offices and ballot questions are the same as listed on the certification and appear in the correct position, the program administrator shall electronically transmit to the State Board of Elections a zero-file in a format designated by the State Board of Elections.</w:t>
      </w:r>
    </w:p>
    <w:p>
      <w:pPr>
        <w:pStyle w:val="kar_subsection"/>
      </w:pPr>
      <w:r>
        <w:t xml:space="preserve">(6)</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t xml:space="preserve">(7)</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t xml:space="preserve">(8)</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 the following:</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(g)</w:t>
      </w:r>
      <w:r>
        <w:t xml:space="preserve"> </w:t>
      </w:r>
      <w:r>
        <w:t xml:space="preserve">An oath for the precinct election officers to sign attesting to the accuracy of the information provided on the statement.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6ae2763fb04619" /><Relationship Type="http://schemas.openxmlformats.org/officeDocument/2006/relationships/settings" Target="/word/settings.xml" Id="R1cc8aa4246454a67" /></Relationships>
</file>