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baeb98cf64d4519" /></Relationships>
</file>

<file path=word/document.xml><?xml version="1.0" encoding="utf-8"?>
<w:document xmlns:w="http://schemas.openxmlformats.org/wordprocessingml/2006/main">
  <w:body>
    <w:p>
      <w:pPr>
        <w:pStyle w:val="kar_citation"/>
      </w:pPr>
      <w:r>
        <w:t>704 KAR 7:140.</w:t>
      </w:r>
      <w:r>
        <w:t xml:space="preserve"> </w:t>
      </w:r>
      <w:r>
        <w:t xml:space="preserve">Authentic high school diploma to an honorably discharged veteran of World War II, the Korean conflict, or Vietnam War.</w:t>
      </w:r>
    </w:p>
    <w:p>
      <w:pPr>
        <w:pStyle w:val="kar_markup_metadata"/>
      </w:pPr>
      <w:r>
        <w:t xml:space="preserve">RELATES TO: </w:t>
      </w:r>
      <w:r>
        <w:t xml:space="preserve">KRS 158.140(5)</w:t>
      </w:r>
    </w:p>
    <w:p>
      <w:pPr>
        <w:pStyle w:val="kar_markup_metadata"/>
      </w:pPr>
      <w:r>
        <w:t xml:space="preserve">STATUTORY AUTHORITY: </w:t>
      </w:r>
      <w:r>
        <w:t xml:space="preserve">KRS 158.140(5)(b)</w:t>
      </w:r>
    </w:p>
    <w:p>
      <w:pPr>
        <w:pStyle w:val="kar_markup_metadata"/>
      </w:pPr>
      <w:r>
        <w:t xml:space="preserve">NECESSITY, FUNCTION, AND CONFORMITY: </w:t>
      </w:r>
      <w:r>
        <w:t xml:space="preserve">KRS 158.140(5)(b) requires the Kentucky Board of Education to promulgate an administrative regulation establishing the guidelines for use by local boards of education when awarding an authentic high school diploma to an honorably discharged veteran who did not complete high school prior to being inducted into the United States Armed Forces during World War II, the Korean conflict, or the Vietnam War. This administrative regulation establishes the requirements for awarding an authentic high school diploma to honorably discharged veterans of World War II, the Korean conflict, and the Vietnam War by local boards of education.</w:t>
      </w:r>
    </w:p>
    <w:p>
      <w:pPr>
        <w:pStyle w:val="kar_section"/>
      </w:pPr>
      <w:r>
        <w:t xml:space="preserve">Section 1.</w:t>
      </w:r>
      <w:r>
        <w:t xml:space="preserve"> </w:t>
      </w:r>
      <w:r>
        <w:t xml:space="preserve">Definitions.</w:t>
      </w:r>
    </w:p>
    <w:p>
      <w:pPr>
        <w:pStyle w:val="kar_subsection"/>
      </w:pPr>
      <w:r>
        <w:t xml:space="preserve">(1)</w:t>
      </w:r>
      <w:r>
        <w:t xml:space="preserve"> </w:t>
      </w:r>
      <w:r>
        <w:t xml:space="preserve">"Korean conflict" is defined by KRS 40.010(18);</w:t>
      </w:r>
    </w:p>
    <w:p>
      <w:pPr>
        <w:pStyle w:val="kar_subsection"/>
      </w:pPr>
      <w:r>
        <w:t xml:space="preserve">(2)</w:t>
      </w:r>
      <w:r>
        <w:t xml:space="preserve"> </w:t>
      </w:r>
      <w:r>
        <w:t xml:space="preserve">"Vietnam War" is defined by KRS 158.140(5)(a)3; and</w:t>
      </w:r>
    </w:p>
    <w:p>
      <w:pPr>
        <w:pStyle w:val="kar_subsection"/>
      </w:pPr>
      <w:r>
        <w:t xml:space="preserve">(3)</w:t>
      </w:r>
      <w:r>
        <w:t xml:space="preserve"> </w:t>
      </w:r>
      <w:r>
        <w:t xml:space="preserve">"World War II" is defined by KRS 40.010(17).</w:t>
      </w:r>
    </w:p>
    <w:p>
      <w:pPr>
        <w:pStyle w:val="kar_section"/>
      </w:pPr>
      <w:r>
        <w:t xml:space="preserve">Section 2.</w:t>
      </w:r>
      <w:r>
        <w:t xml:space="preserve"> </w:t>
      </w:r>
    </w:p>
    <w:p>
      <w:pPr>
        <w:pStyle w:val="kar_subsection"/>
      </w:pPr>
      <w:r>
        <w:t xml:space="preserve">(1)</w:t>
      </w:r>
      <w:r>
        <w:t xml:space="preserve"> </w:t>
      </w:r>
      <w:r>
        <w:t xml:space="preserve">An honorably discharged veteran of World War II, the Korean conflict, the Vietnam War, or a member of the veteran's family, shall submit a discharge certificate showing the period of service type of discharge, and the name of the high school and district of enrollment at the time of induction into the United States Armed Forces to the Kentucky Department of Veterans' Affairs, 1111 Louisville Road, Suite B, Frankfort, Kentucky 40601.</w:t>
      </w:r>
    </w:p>
    <w:p>
      <w:pPr>
        <w:pStyle w:val="kar_subsection"/>
      </w:pPr>
      <w:r>
        <w:t xml:space="preserve">(2)</w:t>
      </w:r>
      <w:r>
        <w:t xml:space="preserve"> </w:t>
      </w:r>
      <w:r>
        <w:t xml:space="preserve">The Kentucky Department of Veterans' Affairs shall forward the verified documentation to the local board of education in which the veteran was enrolled prior to being inducted into the United States Armed Forces.</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Upon receipt of documentation, from the Kentucky Department of Veterans' Affairs, the local board of education shall verify the veteran was enrolled in, but did not complete, high school prior to induction and meets the requirements of KRS 158.140 prior to issuing the authentic high school diploma. If the high school or district has since been consolidated or reconfigured since the veteran's enrollment, the current local board of education with jurisdiction shall provide the verification and issue the authentic high school diploma.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028df3c75f54d5a" /><Relationship Type="http://schemas.openxmlformats.org/officeDocument/2006/relationships/settings" Target="/word/settings.xml" Id="R225d300000234d58" /></Relationships>
</file>