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a9f1b4f5184abc" /></Relationships>
</file>

<file path=word/document.xml><?xml version="1.0" encoding="utf-8"?>
<w:document xmlns:w="http://schemas.openxmlformats.org/wordprocessingml/2006/main">
  <w:body>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the 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t xml:space="preserve">"FAFSA form" means the free application for federal student aid form completed by students to determine eligibility to receive federal student financial aid.</w:t>
      </w:r>
    </w:p>
    <w:p>
      <w:pPr>
        <w:pStyle w:val="kar_subsection"/>
      </w:pPr>
      <w:r>
        <w:t xml:space="preserve">(6)</w:t>
      </w:r>
      <w:r>
        <w:t xml:space="preserve"> </w:t>
      </w:r>
      <w:r>
        <w:t xml:space="preserve">"First-generation college students" means students who report on the FAFSA form that neither parent has earned a college degree or credential, or one (1) parent if the other parent's education level is unknown.</w:t>
      </w:r>
    </w:p>
    <w:p>
      <w:pPr>
        <w:pStyle w:val="kar_subsection"/>
      </w:pPr>
      <w:r>
        <w:t xml:space="preserve">(7)</w:t>
      </w:r>
      <w:r>
        <w:t xml:space="preserve"> </w:t>
      </w:r>
      <w:r>
        <w:t xml:space="preserve">"Formula base amount" is defined by KRS 164.092(1)(e) and includes a deduction for mandated programs.</w:t>
      </w:r>
    </w:p>
    <w:p>
      <w:pPr>
        <w:pStyle w:val="kar_subsection"/>
      </w:pPr>
      <w:r>
        <w:t xml:space="preserve">(8)</w:t>
      </w:r>
      <w:r>
        <w:t xml:space="preserve"> </w:t>
      </w:r>
      <w:r>
        <w:t xml:space="preserve">"Hold-harmless provision" is defined by KRS 164.092(1)(f).</w:t>
      </w:r>
    </w:p>
    <w:p>
      <w:pPr>
        <w:pStyle w:val="kar_subsection"/>
      </w:pPr>
      <w:r>
        <w:t xml:space="preserve">(9)</w:t>
      </w:r>
      <w:r>
        <w:t xml:space="preserve"> </w:t>
      </w:r>
      <w:r>
        <w:t xml:space="preserve">"Institution" means a public university.</w:t>
      </w:r>
    </w:p>
    <w:p>
      <w:pPr>
        <w:pStyle w:val="kar_subsection"/>
      </w:pPr>
      <w:r>
        <w:t xml:space="preserve">(10)</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t xml:space="preserve">(11)</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(12)</w:t>
      </w:r>
      <w:r>
        <w:t xml:space="preserve"> </w:t>
      </w:r>
      <w:r>
        <w:t xml:space="preserve">"Non-traditional age students" is defined in KRS 164.092(1)(k).</w:t>
      </w:r>
    </w:p>
    <w:p>
      <w:pPr>
        <w:pStyle w:val="kar_subsection"/>
      </w:pPr>
      <w:r>
        <w:t xml:space="preserve">(13)</w:t>
      </w:r>
      <w:r>
        <w:t xml:space="preserve"> </w:t>
      </w:r>
      <w:r>
        <w:t xml:space="preserve">"Non-resident student" means a student who does not meet the requirements for Kentucky residency for purposes of tuition set forth in 13 KAR 2:045.</w:t>
      </w:r>
    </w:p>
    <w:p>
      <w:pPr>
        <w:pStyle w:val="kar_subsection"/>
      </w:pPr>
      <w:r>
        <w:t xml:space="preserve">(14)</w:t>
      </w:r>
      <w:r>
        <w:t xml:space="preserve"> </w:t>
      </w:r>
      <w:r>
        <w:t xml:space="preserve">"Research university" is defined by KRS 164.092(1)(m).</w:t>
      </w:r>
    </w:p>
    <w:p>
      <w:pPr>
        <w:pStyle w:val="kar_subsection"/>
      </w:pPr>
      <w:r>
        <w:t xml:space="preserve">(15)</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(16)</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w:t>
      </w:r>
    </w:p>
    <w:p>
      <w:pPr>
        <w:pStyle w:val="kar_paragraph"/>
      </w:pPr>
      <w:r>
        <w:t xml:space="preserve">(b)</w:t>
      </w:r>
      <w:r>
        <w:t xml:space="preserve"> </w:t>
      </w:r>
      <w:r>
        <w:t xml:space="preserve">For a comprehensive university, ten (10) percent of the total formula base amount for all comprehensive universities divided by six (6); and</w:t>
      </w:r>
    </w:p>
    <w:p>
      <w:pPr>
        <w:pStyle w:val="kar_paragraph"/>
      </w:pPr>
      <w:r>
        <w:t xml:space="preserve">(c)</w:t>
      </w:r>
      <w:r>
        <w:t xml:space="preserve"> </w:t>
      </w:r>
      <w:r>
        <w:t xml:space="preserve">For institutions that have a hold-harmless amount in fiscal year 2023-2024, an additional amount equaling the institution's 2023-2024 hold-harmless amount.</w:t>
      </w:r>
    </w:p>
    <w:p>
      <w:pPr>
        <w:pStyle w:val="kar_subsection"/>
      </w:pPr>
      <w:r>
        <w:t xml:space="preserve">(17)</w:t>
      </w:r>
      <w:r>
        <w:t xml:space="preserve"> </w:t>
      </w:r>
      <w:r>
        <w:t xml:space="preserve">"STEM+H degrees" means degrees in the fields of science, technology, engineering, math, and health sciences as determined by the council.</w:t>
      </w:r>
    </w:p>
    <w:p>
      <w:pPr>
        <w:pStyle w:val="kar_subsection"/>
      </w:pPr>
      <w:r>
        <w:t xml:space="preserve">(18)</w:t>
      </w:r>
      <w:r>
        <w:t xml:space="preserve"> </w:t>
      </w:r>
      <w:r>
        <w:t xml:space="preserve">"Stop-loss provision" is defined by KRS 164.092(1)(n).</w:t>
      </w:r>
    </w:p>
    <w:p>
      <w:pPr>
        <w:pStyle w:val="kar_subsection"/>
      </w:pPr>
      <w:r>
        <w:t xml:space="preserve">(19)</w:t>
      </w:r>
      <w:r>
        <w:t xml:space="preserve"> </w:t>
      </w:r>
      <w:r>
        <w:t xml:space="preserve">"Underrepresented students" means first-generation college students.</w:t>
      </w:r>
    </w:p>
    <w:p>
      <w:pPr>
        <w:pStyle w:val="kar_subsection"/>
      </w:pPr>
      <w:r>
        <w:t xml:space="preserve">(20)</w:t>
      </w:r>
      <w:r>
        <w:t xml:space="preserve"> </w:t>
      </w:r>
      <w:r>
        <w:t xml:space="preserve">"University allocable resources" is defined by KRS 164.092(1)(o).</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student progression, 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Forty (40) percent of total university allocable resources shall be certified for distribution to each institution based on its share of the total volume of student success outcomes related to bachelor's degree production and student progression as established in KRS 164.092(6)(a)1. through 5., and in the following denominations:</w:t>
      </w:r>
    </w:p>
    <w:p>
      <w:pPr>
        <w:pStyle w:val="kar_subsection"/>
      </w:pPr>
      <w:r>
        <w:t xml:space="preserve">(1)</w:t>
      </w:r>
      <w:r>
        <w:t xml:space="preserve"> </w:t>
      </w:r>
      <w:r>
        <w:t xml:space="preserve">Nine (9) percent based on the bachelor's degrees awarded in an academic year as described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 xml:space="preserve">(3)</w:t>
      </w:r>
      <w:r>
        <w:t xml:space="preserve"> </w:t>
      </w:r>
      <w:r>
        <w:t xml:space="preserve">Nine and a half (9.5) percent based on bachelor's degrees awarded to low-income students in an academic year;</w:t>
      </w:r>
    </w:p>
    <w:p>
      <w:pPr>
        <w:pStyle w:val="kar_subsection"/>
      </w:pPr>
      <w:r>
        <w:t xml:space="preserve">(4)</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t xml:space="preserve">(5)</w:t>
      </w:r>
      <w:r>
        <w:t xml:space="preserve"> </w:t>
      </w:r>
      <w:r>
        <w:t xml:space="preserve">Five (5) percent based on the number of full-time and part-time undergraduate students reaching or surpassing sixty (60) cumulative earned credit hours in any term completed from August 1st to July 31st;</w:t>
      </w:r>
    </w:p>
    <w:p>
      <w:pPr>
        <w:pStyle w:val="kar_subsection"/>
      </w:pPr>
      <w:r>
        <w:t xml:space="preserve">(6)</w:t>
      </w:r>
      <w:r>
        <w:t xml:space="preserve"> </w:t>
      </w:r>
      <w:r>
        <w:t xml:space="preserve">Seven (7) percent based on the number of full-time and part-time undergraduate students reaching or surpassing ninety (90) cumulative earned credit hours in any term completed from August 1st to July 31st; and</w:t>
      </w:r>
    </w:p>
    <w:p>
      <w:pPr>
        <w:pStyle w:val="kar_subsection"/>
      </w:pPr>
      <w:r>
        <w:t xml:space="preserve">(7)</w:t>
      </w:r>
      <w:r>
        <w:t xml:space="preserve"> </w:t>
      </w:r>
      <w:r>
        <w:t xml:space="preserve">One and a half (1.5) percent based on the number of bachelor's degrees awarded to first generation students in an academic year.</w:t>
      </w:r>
    </w:p>
    <w:p>
      <w:pPr>
        <w:pStyle w:val="kar_section"/>
      </w:pPr>
      <w:r>
        <w:t xml:space="preserve">Section 6.</w:t>
      </w:r>
      <w:r>
        <w:t xml:space="preserve"> </w:t>
      </w:r>
      <w:r>
        <w:t xml:space="preserve">Student Credit Hour Production. Thirty (30)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 Credit hours earned by non-resident students shall be given one-half (0.5) the weight of those earned by resident students in comparable programs of study. Beginning fiscal year 2024-2025, credit hours earned by non-resident students shall be given three-quarters (.75) the weight of those earned by resident students in comparable programs of study and resident undergraduate non-traditional age students shall be given twice the weight of those earned by traditional age students in comparable programs of study.</w:t>
      </w:r>
    </w:p>
    <w:p>
      <w:pPr>
        <w:pStyle w:val="kar_subsection"/>
      </w:pPr>
      <w:r>
        <w:t xml:space="preserve">(2)</w:t>
      </w:r>
      <w:r>
        <w:t xml:space="preserve"> </w:t>
      </w:r>
      <w:r>
        <w:t xml:space="preserve">The calculation in subsection (1) of this section 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Funding Model Formula Chart," April 2024;</w:t>
      </w:r>
    </w:p>
    <w:p>
      <w:pPr>
        <w:pStyle w:val="kar_paragraph"/>
      </w:pPr>
      <w:r>
        <w:t xml:space="preserve">(b)</w:t>
      </w:r>
      <w:r>
        <w:t xml:space="preserve"> </w:t>
      </w:r>
      <w:r>
        <w:t xml:space="preserve">"Public University Funding Model Metric Weighting Chart," April 2024; and</w:t>
      </w:r>
    </w:p>
    <w:p>
      <w:pPr>
        <w:pStyle w:val="kar_paragraph"/>
      </w:pPr>
      <w:r>
        <w:t xml:space="preserve">(c)</w:t>
      </w:r>
      <w:r>
        <w:t xml:space="preserve"> </w:t>
      </w:r>
      <w:r>
        <w:t xml:space="preserve">"Public University Funding Model Earned Credit Hour Production Weighting Index," June 2017.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Council on Postsecondary Education, 100 Airport Road, Third Floor, Frankfort, Kentucky 40601, Monday through Friday, 8 a.m. to 4:30 p.m. and https://cpe.ky.gov/.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ebf00636443b9" /><Relationship Type="http://schemas.openxmlformats.org/officeDocument/2006/relationships/settings" Target="/word/settings.xml" Id="R6a808a6813b14e1d" /></Relationships>
</file>