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6c0a36ad340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27:041.</w:t>
      </w:r>
      <w:r>
        <w:t xml:space="preserve"> </w:t>
      </w:r>
      <w:r>
        <w:t xml:space="preserve">Managers.</w:t>
      </w:r>
    </w:p>
    <w:p>
      <w:pPr>
        <w:pStyle w:val="kar_markup_metadata"/>
      </w:pPr>
      <w:r>
        <w:t xml:space="preserve">RELATES TO: </w:t>
      </w:r>
      <w:r>
        <w:t xml:space="preserve">KRS 229.021, 229.081, 229.091, 229.171, EO 2016-270</w:t>
      </w:r>
    </w:p>
    <w:p>
      <w:pPr>
        <w:pStyle w:val="kar_markup_metadata"/>
      </w:pPr>
      <w:r>
        <w:t xml:space="preserve">STATUTORY AUTHORITY: </w:t>
      </w:r>
      <w:r>
        <w:t xml:space="preserve">KRS 229.081, 229.091, 229.171, 229.180</w:t>
      </w:r>
    </w:p>
    <w:p>
      <w:pPr>
        <w:pStyle w:val="kar_markup_metadata"/>
      </w:pPr>
      <w:r>
        <w:t xml:space="preserve">NECESSITY, FUNCTION, AND CONFORMITY: </w:t>
      </w:r>
      <w:r>
        <w:t xml:space="preserve">KRS 229.171(1) authorizes the authority to exercise sole jurisdiction over all boxing, kickboxing, mixed martial arts, and wrestling shows, exhibitions, and licensees in the commonwealth. Executive Order 2016-270, effective May 16, 2016, abolished the Kentucky Boxing and Wrestling Authority and established the Kentucky Boxing and Wrestling Commission. This administrative regulation establishes standards governing the conduct of managers.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Duties and Responsibilities.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manager shall only do business with a promoter, ring official, or contestant who holds an active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manager shall not act or attempt to act for a contestant unless authorized by the contestant.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contract between a manager and a contestant shall be filed with the commission as evidence of the manager's authority to act for the contestant.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(4)</w:t>
      </w:r>
      <w:r>
        <w:t xml:space="preserve"> </w:t>
      </w:r>
      <w:r>
        <w:t xml:space="preserve">A manager shall keep accurate records of the receipts and expenses of the contestants under their management and control. These records shall be available to the contestants and to the commission.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d34bf8bbf4bef" /><Relationship Type="http://schemas.openxmlformats.org/officeDocument/2006/relationships/settings" Target="/word/settings.xml" Id="R24900db767124e01" /></Relationships>
</file>