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04bc4d50e2432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2:470.</w:t>
      </w:r>
      <w:r>
        <w:t xml:space="preserve"> </w:t>
      </w:r>
      <w:r>
        <w:t xml:space="preserve">Change of ownership.</w:t>
      </w:r>
    </w:p>
    <w:p>
      <w:pPr>
        <w:pStyle w:val="kar_markup_metadata"/>
      </w:pPr>
      <w:r>
        <w:t xml:space="preserve">RELATES TO: </w:t>
      </w:r>
      <w:r>
        <w:t xml:space="preserve">KRS 315.035, 315.036(1), 315.340(6), 315.350(4), 315.405(5), 315.4104(1)</w:t>
      </w:r>
    </w:p>
    <w:p>
      <w:pPr>
        <w:pStyle w:val="kar_markup_metadata"/>
      </w:pPr>
      <w:r>
        <w:t xml:space="preserve">STATUTORY AUTHORITY: </w:t>
      </w:r>
      <w:r>
        <w:t xml:space="preserve">315.191(1)</w:t>
      </w:r>
    </w:p>
    <w:p>
      <w:pPr>
        <w:pStyle w:val="kar_markup_metadata"/>
      </w:pPr>
      <w:r>
        <w:t xml:space="preserve">NECESSITY, FUNCTION, AND CONFORMITY: </w:t>
      </w:r>
      <w:r>
        <w:t xml:space="preserve">315.191(1) authorizes the board to promulgate administrative regulations to regulate pharmacists, pharmacies, wholesalers and manufacturers. KRS 315.035 discusses changes of ownership of a pharmacy and requires notice to be provided no fewer than five (5) days before the transaction occurs and authorizes a buyer to operate under a seller's permit pending the application. Due to the nature of business structures, it is not clear when a change of ownership of a regulated entity is considered to occur, and therefore this administrative regulation provides clarity for making those determinations.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Change of entity ownership requiring a new license or permit means: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Partnership. In the case of a partnership, the removal, addition, or substitution of a partner.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Unincorporated sole proprietorship. In the case of an unincorporated sole proprietorship, the transfer of title and property to another party.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Corporation.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In the case of a corporation, the merger of the licensed corporation into another corporation or the consolidation of two (2) or more corporations, resulting in the creation of a new corporation.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Transfer of corporate stock or the merger of another corporation into the licensed corporation does not constitute change of entity ownership; however, notification pursuant to Section 2 of this administrative regulation shall be provided within thirty (30) days of the transaction occurring.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Limited liability company (LLC).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In the case of an LLC, the merger of the licensed LLC into another LLC or the consolidation of two (2) or more LLCs, resulting in the creation of a new LLC.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Transfer of company stock or the merger of another LLC into the licensed LLC does not constitute change of ownership; however, notification pursuant to Section 2 of this administrative regulation shall be provided within thirty (30) days of the transaction occurring.</w:t>
      </w:r>
    </w:p>
    <w:p>
      <w:pPr>
        <w:pStyle w:val="kar_section"/>
      </w:pPr>
      <w:r>
        <w:t xml:space="preserve">Section 2.</w:t>
      </w:r>
      <w:r>
        <w:t xml:space="preserve"> </w:t>
      </w:r>
      <w:r>
        <w:t xml:space="preserve">Procedure.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Written notice of the following shall be provided to the board no more than thirty (30) calendar days after the transaction occurs: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A transfer of stock of greater than ten (10) percent in a non-publicly traded corporation which is the direct owner of an entity;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A transfer of membership interest in a limited liability company which is the direct owner of an entity; and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A change of corporate officer.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Written notification shall include providing a copy of the purchase agreement in the case of a stock or membership interest transfer. Purchase amounts and proprietary information may be redacted.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3.</w:t>
      </w:r>
      <w:r>
        <w:t xml:space="preserve"> </w:t>
      </w:r>
      <w:r>
        <w:t xml:space="preserve">Responsibility. A permit or license which has been served with a complaint and notice of hearing pursuant to KRS Chapter 13B for a pending disciplinary proceeding with the Board of Pharmacy may not change ownership until the issuance of a final order by the board or upon the agreement of all parties to the terms of a settlement.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81b13cd9d6b4c3b" /><Relationship Type="http://schemas.openxmlformats.org/officeDocument/2006/relationships/settings" Target="/word/settings.xml" Id="R26f502b43d5f4f78" /></Relationships>
</file>