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41131d79ec466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Interpreters for the Deaf and Hard of Hearing</w:t>
      </w:r>
    </w:p>
    <w:p>
      <w:pPr>
        <w:pStyle w:val="kar_markup_header"/>
        <w:ind w:firstLine="0"/>
      </w:pPr>
      <w:r>
        <w:t>(Amendment)</w:t>
      </w:r>
    </w:p>
    <w:p>
      <w:pPr>
        <w:pStyle w:val="kar_citation"/>
      </w:pPr>
      <w:r>
        <w:t>201 KAR 39:100.</w:t>
      </w:r>
      <w:r>
        <w:t xml:space="preserve"> </w:t>
      </w:r>
      <w:r>
        <w:t xml:space="preserve">Complaint procedure.</w:t>
      </w:r>
    </w:p>
    <w:p>
      <w:pPr>
        <w:pStyle w:val="kar_markup_metadata"/>
      </w:pPr>
      <w:r>
        <w:t xml:space="preserve">RELATES TO: </w:t>
      </w:r>
      <w:r>
        <w:t xml:space="preserve">KRS 309.304(7), 309.316, 309.318</w:t>
      </w:r>
    </w:p>
    <w:p>
      <w:pPr>
        <w:pStyle w:val="kar_markup_metadata"/>
      </w:pPr>
      <w:r>
        <w:t xml:space="preserve">STATUTORY AUTHORITY: </w:t>
      </w:r>
      <w:r>
        <w:t xml:space="preserve">KRS 309.304(3), 309.316(2)</w:t>
      </w:r>
    </w:p>
    <w:p>
      <w:pPr>
        <w:pStyle w:val="kar_markup_metadata"/>
      </w:pPr>
      <w:r>
        <w:t xml:space="preserve">NECESSITY, FUNCTION, AND CONFORMITY: </w:t>
      </w:r>
      <w:r>
        <w:t xml:space="preserve">KRS 309.316(2) authorizes the board to establish procedures for receiving and investigating complaints. KRS 309.318 delineates the causes for which disciplinary action may be taken against a licensee. This administrative regulation establishes procedures for the filing, evaluation, and disposition of administrative complaints.</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w:t>
      </w:r>
    </w:p>
    <w:p>
      <w:pPr>
        <w:pStyle w:val="kar_subparagraph"/>
      </w:pPr>
      <w:r>
        <w:t xml:space="preserve">1.</w:t>
      </w:r>
      <w:r>
        <w:t xml:space="preserve"> </w:t>
      </w:r>
      <w:r>
        <w:t xml:space="preserve">Be in writing or contained on a videotape or digital media; and</w:t>
      </w:r>
    </w:p>
    <w:p>
      <w:pPr>
        <w:pStyle w:val="kar_subparagraph"/>
      </w:pPr>
      <w:r>
        <w:t xml:space="preserve">2.</w:t>
      </w:r>
      <w:r>
        <w:t xml:space="preserve"> </w:t>
      </w:r>
      <w:r>
        <w:t xml:space="preserve">Include the signature or stated name, address, and telephone or videophone number of the person submitting the complaint; and</w:t>
      </w:r>
    </w:p>
    <w:p>
      <w:pPr>
        <w:pStyle w:val="kar_paragraph"/>
      </w:pPr>
      <w:r>
        <w:t xml:space="preserve">(c)</w:t>
      </w:r>
      <w:r>
        <w:t xml:space="preserve"> </w:t>
      </w:r>
      <w:r>
        <w:t xml:space="preserve">May be filed by the board or board member based upon information in its possession.</w:t>
      </w:r>
    </w:p>
    <w:p>
      <w:pPr>
        <w:pStyle w:val="kar_subsection"/>
      </w:pPr>
      <w:r>
        <w:t xml:space="preserve">(2)</w:t>
      </w:r>
      <w:r>
        <w:t xml:space="preserve"> </w:t>
      </w:r>
      <w:r>
        <w:t xml:space="preserve">Upon receipt of the complaint a copy of the complaint shall be sent to the licensee named in the complaint along with a request for the licensee's response to the complaint. The individual shall be allowed a period of twenty (20) days from the date of receipt to submit a written, videotaped, or other digital media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licensee's response, </w:t>
      </w:r>
      <w:r>
        <w:t>[</w:t>
      </w:r>
      <w:r>
        <w:rPr>
          <w:strike w:val="true"/>
        </w:rPr>
        <w:t xml:space="preserve">the case manager or </w:t>
      </w:r>
      <w:r>
        <w:t>]</w:t>
      </w:r>
      <w:r>
        <w:t xml:space="preserve">the complaint screening committee shall consider the complaint, the licensee's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licensee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w:t>
      </w:r>
      <w:r>
        <w:t>[</w:t>
      </w:r>
      <w:r>
        <w:rPr>
          <w:strike w:val="true"/>
        </w:rPr>
        <w:t xml:space="preserve">case manager or the </w:t>
      </w:r>
      <w:r>
        <w:t>]</w:t>
      </w:r>
      <w:r>
        <w:t xml:space="preserve">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written report to </w:t>
      </w:r>
      <w:r>
        <w:t>[</w:t>
      </w:r>
      <w:r>
        <w:rPr>
          <w:strike w:val="true"/>
        </w:rPr>
        <w:t xml:space="preserve">the case manager or </w:t>
      </w:r>
      <w:r>
        <w:t>]</w:t>
      </w:r>
      <w:r>
        <w:t xml:space="preserve">the complaint screening committee of the facts regarding the complaint. The </w:t>
      </w:r>
      <w:r>
        <w:t>[</w:t>
      </w:r>
      <w:r>
        <w:rPr>
          <w:strike w:val="true"/>
        </w:rPr>
        <w:t xml:space="preserve">case manager or the </w:t>
      </w:r>
      <w:r>
        <w:t>]</w:t>
      </w:r>
      <w:r>
        <w:t xml:space="preserve">complaint screening committee shall review the investigative report and make a recommendation to the board. The board shall determine whether there has been a prima facie violation of KRS 309.300 to 309.319 or the administrative regulations promulgated thereunder and if a formal complaint should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violation has occurred but is not serious, the board may issue a written admonishment to the licensee in accordance with KRS 309.316(4).</w:t>
      </w:r>
    </w:p>
    <w:p>
      <w:pPr>
        <w:pStyle w:val="kar_subsection"/>
      </w:pPr>
      <w:r>
        <w:t xml:space="preserve">(4)</w:t>
      </w:r>
      <w:r>
        <w:t xml:space="preserve"> </w:t>
      </w:r>
      <w:r>
        <w:t xml:space="preserve">If the board determines that a complaint warrants the issuance of a formal complaint against a respondent, the board attorney in conjunction with </w:t>
      </w:r>
      <w:r>
        <w:t>[</w:t>
      </w:r>
      <w:r>
        <w:rPr>
          <w:strike w:val="true"/>
        </w:rPr>
        <w:t xml:space="preserve">the case manager or </w:t>
      </w:r>
      <w:r>
        <w:t>]</w:t>
      </w:r>
      <w:r>
        <w:t xml:space="preserve">the complaint screening committee shall prepare a formal complaint which states clearly the charge or charges to be considered at the hearing. The formal complaint shall be reviewed by the board and, if approved, signed by the chairman and served upon the individual as required by KRS Chapter 13B.</w:t>
      </w:r>
    </w:p>
    <w:p>
      <w:pPr>
        <w:pStyle w:val="kar_subsection"/>
      </w:pPr>
      <w:r>
        <w:t xml:space="preserve">(5)</w:t>
      </w:r>
      <w:r>
        <w:t xml:space="preserve"> </w:t>
      </w:r>
      <w:r>
        <w:t xml:space="preserve">If the board determines that a person may be in violation of KRS 309.301(1), it shall:</w:t>
      </w:r>
    </w:p>
    <w:p>
      <w:pPr>
        <w:pStyle w:val="kar_paragraph"/>
      </w:pPr>
      <w:r>
        <w:t xml:space="preserve">(a)</w:t>
      </w:r>
      <w:r>
        <w:t xml:space="preserve"> </w:t>
      </w:r>
      <w:r>
        <w:t xml:space="preserve">Order the individual to cease and desist from further violations of KRS 309.301(1);</w:t>
      </w:r>
    </w:p>
    <w:p>
      <w:pPr>
        <w:pStyle w:val="kar_paragraph"/>
      </w:pPr>
      <w:r>
        <w:t xml:space="preserve">(b)</w:t>
      </w:r>
      <w:r>
        <w:t xml:space="preserve"> </w:t>
      </w:r>
      <w:r>
        <w:t xml:space="preserve">Forward information to the county attorney of the county of residence of the person allegedly violating KRS 309.301(1) with a request that appropriate action be taken under KRS 309.319; or</w:t>
      </w:r>
    </w:p>
    <w:p>
      <w:pPr>
        <w:pStyle w:val="kar_paragraph"/>
      </w:pPr>
      <w:r>
        <w:t xml:space="preserve">(c)</w:t>
      </w:r>
      <w:r>
        <w:t xml:space="preserve"> </w:t>
      </w:r>
      <w:r>
        <w:t xml:space="preserve">Initiate action in Franklin Circuit Court for injunctive relief to stop the violation of KRS 309.301(1) pursuant to KRS 309.304(7).</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w:t>
      </w:r>
      <w:r>
        <w:t>[</w:t>
      </w:r>
      <w:r>
        <w:rPr>
          <w:strike w:val="true"/>
        </w:rPr>
        <w:t xml:space="preserve">the case manager or </w:t>
      </w:r>
      <w:r>
        <w:t>]</w:t>
      </w:r>
      <w:r>
        <w:t xml:space="preserve">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w:t>
      </w:r>
      <w:r>
        <w:t>[</w:t>
      </w:r>
      <w:r>
        <w:rPr>
          <w:strike w:val="true"/>
        </w:rPr>
        <w:t xml:space="preserve">man</w:t>
      </w:r>
      <w:r>
        <w:t>]</w:t>
      </w:r>
      <w:r>
        <w:t xml:space="preserve">.</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Notice and Service of Process. A notice required by KRS 309.300 to 309.319 or this administrative regulation shall be issued pursuant to KRS Chapter 13B.</w:t>
      </w:r>
    </w:p>
    <w:p>
      <w:pPr>
        <w:pStyle w:val="kar_section"/>
      </w:pPr>
      <w:r>
        <w:t xml:space="preserve">Section 6.</w:t>
      </w:r>
      <w:r>
        <w:t xml:space="preserve"> </w:t>
      </w:r>
      <w:r>
        <w:t xml:space="preserve">Notification. The board shall make public:</w:t>
      </w:r>
    </w:p>
    <w:p>
      <w:pPr>
        <w:pStyle w:val="kar_subsection"/>
      </w:pPr>
      <w:r>
        <w:t xml:space="preserve">(1)</w:t>
      </w:r>
      <w:r>
        <w:t xml:space="preserve"> </w:t>
      </w:r>
      <w:r>
        <w:t xml:space="preserve">Its final order in a disciplinary action under KRS 309.316(3); and</w:t>
      </w:r>
    </w:p>
    <w:p>
      <w:pPr>
        <w:pStyle w:val="kar_subsection"/>
      </w:pPr>
      <w:r>
        <w:t xml:space="preserve">(2)</w:t>
      </w:r>
      <w:r>
        <w:t xml:space="preserve"> </w:t>
      </w:r>
      <w:r>
        <w:t xml:space="preserve">An action to restrain or enjoin a violation of KRS 309.301(1).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"Complaint Form", </w:t>
      </w:r>
      <w:r>
        <w:rPr>
          <w:u w:val="single"/>
        </w:rPr>
        <w:t xml:space="preserve">DPL-KBI-009, April 2024,</w:t>
      </w:r>
      <w:r>
        <w:t>[</w:t>
      </w:r>
      <w:r>
        <w:rPr>
          <w:strike w:val="true"/>
        </w:rPr>
        <w:t xml:space="preserve">2011,</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w:t>
      </w:r>
      <w:r>
        <w:rPr>
          <w:u w:val="single"/>
        </w:rPr>
        <w:t xml:space="preserve">Department of Professional Licensing, 500 Mero Street,</w:t>
      </w:r>
      <w:r>
        <w:t>[</w:t>
      </w:r>
      <w:r>
        <w:rPr>
          <w:strike w:val="true"/>
        </w:rPr>
        <w:t xml:space="preserve">Division of Occupations and Professions, 911 Leawood Drive,</w:t>
      </w:r>
      <w:r>
        <w:t>]</w:t>
      </w:r>
      <w:r>
        <w:t xml:space="preserve"> Frankfort, Kentucky 40601, Monday through Friday, 8 a.m. to 4:30 p.m. </w:t>
      </w:r>
      <w:r>
        <w:rPr>
          <w:u w:val="single"/>
        </w:rPr>
        <w:t xml:space="preserve">and found on the board's Web site at www.kbi.ky.gov.</w:t>
      </w:r>
    </w:p>
    <w:p>
      <w:pPr>
        <w:pStyle w:val="kar_signature"/>
      </w:pPr>
      <w:r>
        <w:t xml:space="preserve">MARVA JOHNSON, Chair</w:t>
      </w:r>
    </w:p>
    <w:p>
      <w:pPr>
        <w:pStyle w:val="kar_normal"/>
      </w:pPr>
      <w:r>
        <w:t xml:space="preserve"/>
      </w:r>
    </w:p>
    <w:p>
      <w:pPr>
        <w:pStyle w:val="kar_approved_by"/>
      </w:pPr>
      <w:r>
        <w:t xml:space="preserve">APPROVED BY AGENCY: June 12, 2024</w:t>
      </w:r>
    </w:p>
    <w:p>
      <w:pPr>
        <w:pStyle w:val="kar_filed"/>
      </w:pPr>
      <w:r>
        <w:t xml:space="preserve">FILED WITH LRC: June 12, 2024 at 4:20 p.m.</w:t>
      </w:r>
    </w:p>
    <w:p>
      <w:pPr>
        <w:pStyle w:val="kar_normal"/>
      </w:pPr>
      <w:r>
        <w:t xml:space="preserve"/>
      </w:r>
    </w:p>
    <w:p>
      <w:pPr>
        <w:pStyle w:val="kar_comment_period"/>
      </w:pPr>
      <w:r>
        <w:t xml:space="preserve">PUBLIC HEARING AND PUBLIC COMMENT PERIOD: A public hearing on this administrative regulation shall be held on August 27, 2024, at 11:00 a.m.,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Sara Boswell Janes, Staff Attorney III, Department of Professional Licensing, Office of Legal Services, 500 Mero Street, 2 NC WK#2, phone (502) 782-2709,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creates the procedure for filing a disciplinary complaint with the Board and sets the disciplinary process utilized by the Board.</w:t>
      </w:r>
    </w:p>
    <w:p>
      <w:pPr>
        <w:pStyle w:val="kar_normal"/>
        <w:ind w:left="576"/>
      </w:pPr>
      <w:r>
        <w:t xml:space="preserve">(b) The necessity of this administrative regulation:</w:t>
      </w:r>
    </w:p>
    <w:p>
      <w:pPr>
        <w:pStyle w:val="kar_normal"/>
        <w:ind w:left="720"/>
      </w:pPr>
      <w:r>
        <w:t xml:space="preserve">This regulation creates the procedure for filing a disciplinary complaint with the Board and sets the disciplinary process utilized by the Board.</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generally.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creates the procedure for filing a disciplinary complaint with the Board and sets the disciplinary process utilized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existing procedures and requirements and increases transparency of Board actions.</w:t>
      </w:r>
    </w:p>
    <w:p>
      <w:pPr>
        <w:pStyle w:val="kar_normal"/>
        <w:ind w:left="576"/>
      </w:pPr>
      <w:r>
        <w:t xml:space="preserve">(b) The necessity of the amendment to this administrative regulation:</w:t>
      </w:r>
    </w:p>
    <w:p>
      <w:pPr>
        <w:pStyle w:val="kar_normal"/>
        <w:ind w:left="720"/>
      </w:pPr>
      <w:r>
        <w:t xml:space="preserve">This amendment clarifies existing procedures and requirements and increases transparency of Board actions.</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generally related to the practice of interpreting.</w:t>
      </w:r>
    </w:p>
    <w:p>
      <w:pPr>
        <w:pStyle w:val="kar_normal"/>
        <w:ind w:left="576"/>
      </w:pPr>
      <w:r>
        <w:t xml:space="preserve">(d) How the amendment will assist in the effective administration of the statutes:</w:t>
      </w:r>
    </w:p>
    <w:p>
      <w:pPr>
        <w:pStyle w:val="kar_normal"/>
        <w:ind w:left="720"/>
      </w:pPr>
      <w:r>
        <w:t xml:space="preserve">This amendment clarifies existing procedures and requirements and increases transparency of Board actions.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533 full and 45 temporarily licensed interpreters.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Aggrieved parties or members of the public will submit complaints in the same way that those complaints have been submitted.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board does not anticipate any cost to the applicants affected by the amendment.</w:t>
      </w:r>
    </w:p>
    <w:p>
      <w:pPr>
        <w:pStyle w:val="kar_normal"/>
        <w:ind w:left="576"/>
      </w:pPr>
      <w:r>
        <w:t xml:space="preserve">(c) As a result of compliance, what benefits will accrue to the entities identified in question (3):</w:t>
      </w:r>
    </w:p>
    <w:p>
      <w:pPr>
        <w:pStyle w:val="kar_normal"/>
        <w:ind w:left="720"/>
      </w:pPr>
      <w:r>
        <w:t xml:space="preserve">The profession will be stronger through the discipline of bad actors.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will not cost the administrative body any additional funds to implement this administrative regulation.</w:t>
      </w:r>
    </w:p>
    <w:p>
      <w:pPr>
        <w:pStyle w:val="kar_normal"/>
        <w:ind w:left="576"/>
      </w:pPr>
      <w:r>
        <w:t xml:space="preserve">(b) On a continuing basis:</w:t>
      </w:r>
    </w:p>
    <w:p>
      <w:pPr>
        <w:pStyle w:val="kar_normal"/>
        <w:ind w:left="720"/>
      </w:pPr>
      <w:r>
        <w:t xml:space="preserve">It will not cost the administrative body any additional funds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309.304, KRS 309.312.</w:t>
      </w:r>
    </w:p>
    <w:p>
      <w:pPr>
        <w:pStyle w:val="kar_normal"/>
        <w:ind w:left="288"/>
      </w:pPr>
      <w:r>
        <w:t xml:space="preserve">(2) Identify the promulgating agency and any other affected state units, parts, or divisions:</w:t>
      </w:r>
    </w:p>
    <w:p>
      <w:pPr>
        <w:pStyle w:val="kar_normal"/>
        <w:ind w:left="432"/>
      </w:pPr>
      <w:r>
        <w:t xml:space="preserve">Kentucky Board of Interpreters for the Deaf and Hard of Hearing is an administrative body created by KRS 309.302 and the promulgating agency.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administrative regulation.</w:t>
      </w:r>
    </w:p>
    <w:p>
      <w:pPr>
        <w:pStyle w:val="kar_normal"/>
        <w:ind w:left="576"/>
      </w:pPr>
      <w:r>
        <w:t xml:space="preserve">(b) Methodology and resources used to determine the fiscal impact:</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c4b89121a94573" /><Relationship Type="http://schemas.openxmlformats.org/officeDocument/2006/relationships/settings" Target="/word/settings.xml" Id="Rff779bf406b54978" /></Relationships>
</file>