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ebf778e4f14fa2" /></Relationships>
</file>

<file path=word/document.xml><?xml version="1.0" encoding="utf-8"?>
<w:document xmlns:w="http://schemas.openxmlformats.org/wordprocessingml/2006/main">
  <w:body>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 states the "corporation shall promulgate administrative regulations to establish a fully functioning sports wagering system...." This administrative regulation establishes procedures and 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corporation may take disciplinary action against any person holding a license for a violation of any of the provisions of KRS Chapter 230 or KAR Titles 809 and 810, by the licensee or its employees or agents.</w:t>
      </w:r>
    </w:p>
    <w:p>
      <w:pPr>
        <w:pStyle w:val="kar_subsection"/>
      </w:pPr>
      <w:r>
        <w:t xml:space="preserve">(2)</w:t>
      </w:r>
      <w:r>
        <w:t xml:space="preserve"> </w:t>
      </w:r>
      <w:r>
        <w:t xml:space="preserve">Acceptance or renewal of a license by a licensee shall constitute an agreement on the part of the license-holder to comply with KRS Chapter 230 and KAR Titles 809 and 810.</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corporation, any advisory committee, or any corporation employee with incorrect, false, or misleading information;</w:t>
      </w:r>
    </w:p>
    <w:p>
      <w:pPr>
        <w:pStyle w:val="kar_paragraph"/>
      </w:pPr>
      <w:r>
        <w:t xml:space="preserve">(b)</w:t>
      </w:r>
      <w:r>
        <w:t xml:space="preserve"> </w:t>
      </w:r>
      <w:r>
        <w:t xml:space="preserve">Fails to submit information requested by the corporation, any advisory committee, or any corporation employee pursuant to KRS Chapter 230 or KAR Titles 809 or 810;</w:t>
      </w:r>
    </w:p>
    <w:p>
      <w:pPr>
        <w:pStyle w:val="kar_paragraph"/>
      </w:pPr>
      <w:r>
        <w:t xml:space="preserve">(c)</w:t>
      </w:r>
      <w:r>
        <w:t xml:space="preserve"> </w:t>
      </w:r>
      <w:r>
        <w:t xml:space="preserve">Is charged or convicted of a crime:</w:t>
      </w:r>
    </w:p>
    <w:p>
      <w:pPr>
        <w:pStyle w:val="kar_subparagraph"/>
      </w:pPr>
      <w:r>
        <w:t xml:space="preserve">1.</w:t>
      </w:r>
      <w:r>
        <w:t xml:space="preserve"> </w:t>
      </w:r>
      <w:r>
        <w:t xml:space="preserve">Involving moral turpitude;</w:t>
      </w:r>
    </w:p>
    <w:p>
      <w:pPr>
        <w:pStyle w:val="kar_subparagraph"/>
      </w:pPr>
      <w:r>
        <w:t xml:space="preserve">2.</w:t>
      </w:r>
      <w:r>
        <w:t xml:space="preserve"> </w:t>
      </w:r>
      <w:r>
        <w:t xml:space="preserve">That constitutes a felony;</w:t>
      </w:r>
    </w:p>
    <w:p>
      <w:pPr>
        <w:pStyle w:val="kar_subparagraph"/>
      </w:pPr>
      <w:r>
        <w:t xml:space="preserve">3.</w:t>
      </w:r>
      <w:r>
        <w:t xml:space="preserve"> </w:t>
      </w:r>
      <w:r>
        <w:t xml:space="preserve">Involving sports wagering;</w:t>
      </w:r>
    </w:p>
    <w:p>
      <w:pPr>
        <w:pStyle w:val="kar_subparagraph"/>
      </w:pPr>
      <w:r>
        <w:t xml:space="preserve">4.</w:t>
      </w:r>
      <w:r>
        <w:t xml:space="preserve"> </w:t>
      </w:r>
      <w:r>
        <w:t xml:space="preserve">Of cruelty, mistreatment, abuse, or neglect of a horse; or</w:t>
      </w:r>
    </w:p>
    <w:p>
      <w:pPr>
        <w:pStyle w:val="kar_subparagraph"/>
      </w:pPr>
      <w:r>
        <w:t xml:space="preserve">5.</w:t>
      </w:r>
      <w:r>
        <w:t xml:space="preserve"> </w:t>
      </w:r>
      <w:r>
        <w:t xml:space="preserve">That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or KAR Titles 809 or 810.</w:t>
      </w:r>
    </w:p>
    <w:p>
      <w:pPr>
        <w:pStyle w:val="kar_subsection"/>
      </w:pPr>
      <w:r>
        <w:t xml:space="preserve">(2)</w:t>
      </w:r>
      <w:r>
        <w:t xml:space="preserve"> </w:t>
      </w:r>
      <w:r>
        <w:t xml:space="preserve">For any violation established in subsection (1) of this section, the corporation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 pursuant to 810 KAR 8:030, Section 10(1)(d);</w:t>
      </w:r>
    </w:p>
    <w:p>
      <w:pPr>
        <w:pStyle w:val="kar_paragraph"/>
      </w:pPr>
      <w:r>
        <w:t xml:space="preserve">(d)</w:t>
      </w:r>
      <w:r>
        <w:t xml:space="preserve"> </w:t>
      </w:r>
      <w:r>
        <w:t xml:space="preserve">Issue licensure conditions, such as restitution of money, restitution of property, or making periodic reports to the corporation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corporation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corporation containing a statement of facts revealed by the investigation.</w:t>
      </w:r>
    </w:p>
    <w:p>
      <w:pPr>
        <w:pStyle w:val="kar_subsection"/>
      </w:pPr>
      <w:r>
        <w:t xml:space="preserve">(3)</w:t>
      </w:r>
      <w:r>
        <w:t xml:space="preserve"> </w:t>
      </w:r>
      <w:r>
        <w:t xml:space="preserve">Based on consideration of the investigative report, the corporation shall determine if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corporation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and</w:t>
      </w:r>
    </w:p>
    <w:p>
      <w:pPr>
        <w:pStyle w:val="kar_paragraph"/>
      </w:pPr>
      <w:r>
        <w:t xml:space="preserve">(d)</w:t>
      </w:r>
      <w:r>
        <w:t xml:space="preserve"> </w:t>
      </w:r>
      <w:r>
        <w:t xml:space="preserve">A statement that the notice may be appealed and that an appeal shall be in accordance with KRS Chapter 13B by written notice sent to the corporation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corporation within twenty (20) calendar days of the date of the notice. The request shall identify the specific issues in dispute and the legal basis on which the corporation's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 as established in subsection (3) of this section, the penalty stated in the notice of disciplinary action shall be effective upon the expiration of the time to request an administrative hearing.</w:t>
      </w:r>
    </w:p>
    <w:p>
      <w:pPr>
        <w:pStyle w:val="kar_subsection"/>
      </w:pPr>
      <w:r>
        <w:t xml:space="preserve">(6)</w:t>
      </w:r>
      <w:r>
        <w:t xml:space="preserve"> </w:t>
      </w:r>
      <w:r>
        <w:t xml:space="preserve">Denial of an application for licensure may also be appealed. An appeal shall be in accordance with KRS Chapter 13B, by submitting a written request for an administrative hearing to the corporation within twenty (20) calendar days of the date of the notice of denial.</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569; 1526;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47935431d408a" /><Relationship Type="http://schemas.openxmlformats.org/officeDocument/2006/relationships/settings" Target="/word/settings.xml" Id="R7ad1a18cc3a94ea1" /></Relationships>
</file>